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pPr>
      <w:r>
        <w:t xml:space="preserve">Stratum analytical review packet</w:t>
      </w:r>
    </w:p>
    <w:p>
      <w:pPr>
        <w:pStyle w:val="Heading1"/>
      </w:pPr>
      <w:r>
        <w:t xml:space="preserve">Finding for management</w:t>
      </w:r>
    </w:p>
    <w:p>
      <w:pPr>
        <w:pStyle w:val="Normal"/>
      </w:pPr>
      <w:r>
        <w:t xml:space="preserve">Essential / Outpatient care: paid claims per covered member-month changed from ₦12,963 to ₦13,656 (5.3%) between Jan–Mar and Apr–Jun 2025. This report uses Result v2 and records at 31 August 2025.</w:t>
      </w:r>
    </w:p>
    <w:p>
      <w:pPr>
        <w:pStyle w:val="Normal"/>
      </w:pPr>
      <w:r>
        <w:t xml:space="preserve">The current account includes the omitted ₦4m in the earlier outpatient baseline. Current-quarter spending is unchanged. The supplied register-to-export reconciliation has been run.</w:t>
      </w:r>
    </w:p>
    <w:p>
      <w:pPr>
        <w:pStyle w:val="Heading1"/>
      </w:pPr>
      <w:r>
        <w:t xml:space="preserve">Evidence position</w:t>
      </w:r>
    </w:p>
    <w:p>
      <w:pPr>
        <w:pStyle w:val="Normal"/>
      </w:pPr>
      <w:r>
        <w:t xml:space="preserve">Four Brookfield sample paid lines match the supplied dated tariff items; two lines remain held. The two comparable service items show 10% higher paid unit amounts. This limited sample does not quantify a tariff contribution to the whole-service movement.</w:t>
      </w:r>
    </w:p>
    <w:p>
      <w:pPr>
        <w:pStyle w:val="Heading1"/>
      </w:pPr>
      <w:r>
        <w:t xml:space="preserve">Next analytical task</w:t>
      </w:r>
    </w:p>
    <w:p>
      <w:pPr>
        <w:pStyle w:val="Normal"/>
      </w:pPr>
      <w:r>
        <w:t xml:space="preserve">Claims review analyst: obtain the OP-DRESS tariff item for SYN-PAID-LINE-005 and the missing quantity for SYN-PAID-LINE-006. A complete matched extract with quantities, service mix and payment timing is still needed to investigate the whole-service movement.</w:t>
      </w:r>
    </w:p>
    <w:p>
      <w:pPr>
        <w:pStyle w:val="Normal"/>
      </w:pPr>
      <w:r>
        <w:t xml:space="preserve">These are synthetic records. No external request, operational response, payment recovery or saving is represented.</w:t>
      </w:r>
    </w:p>
    <w:p>
      <w:pPr>
        <w:pStyle w:val="Heading1"/>
      </w:pPr>
      <w:r>
        <w:t xml:space="preserve">Plan and service investigation</w:t>
      </w:r>
    </w:p>
    <w:p>
      <w:pPr>
        <w:pStyle w:val="Normal"/>
      </w:pPr>
      <w:r>
        <w:t xml:space="preserve">Result v2.</w:t>
      </w:r>
    </w:p>
    <w:p>
      <w:pPr>
        <w:pStyle w:val="Normal"/>
      </w:pPr>
      <w:r>
        <w:t xml:space="preserve">Scope: Essential / Outpatient care. Private paid fee-for-service claims; Jan–Mar and Apr–Jun 2025; records at 31 August 2025. The same cutoff gives Jan–Mar more time for claims reporting and payment.</w:t>
      </w:r>
    </w:p>
    <w:p>
      <w:pPr>
        <w:pStyle w:val="Normal"/>
      </w:pPr>
      <w:r>
        <w:t xml:space="preserve">Question: what explains the change in paid claims per covered member-month in this selected scope?</w:t>
      </w:r>
    </w:p>
    <w:p>
      <w:pPr>
        <w:pStyle w:val="Normal"/>
      </w:pPr>
      <w:r>
        <w:t xml:space="preserve">Current selected-service finding: ₦12,963 → ₦13,656 paid per covered member-month (5.3%). Whole selected plan: 9.8%.</w:t>
      </w:r>
    </w:p>
    <w:p>
      <w:pPr>
        <w:pStyle w:val="Normal"/>
      </w:pPr>
      <w:r>
        <w:t xml:space="preserve">The financial account includes the ₦4m correction to Essential outpatient Jan–Mar paid claims. Current-quarter financial values are unchanged. The result version does not itself establish which checks were completed in this session.</w:t>
      </w:r>
    </w:p>
    <w:p>
      <w:pPr>
        <w:pStyle w:val="Normal"/>
      </w:pPr>
      <w:r>
        <w:t xml:space="preserve">Current portfolio movement: estimated healthcare costs ₦43.8m; paid ₦38.0m; within-plan paid-rate movement ₦6.939m.</w:t>
      </w:r>
    </w:p>
    <w:p>
      <w:pPr>
        <w:pStyle w:val="Normal"/>
      </w:pPr>
      <w:r>
        <w:t xml:space="preserve">Sources: SOURCE-PRIVATE-2025-v2; covered member-months and MAP-PRIVATE-2025-01 unchanged. The baseline batch case and tariff sample concern Essential outpatient care only.</w:t>
      </w:r>
    </w:p>
    <w:p>
      <w:pPr>
        <w:pStyle w:val="Normal"/>
      </w:pPr>
      <w:r>
        <w:t xml:space="preserve">Explicit record-check states are retained in the evidence workflow section below.</w:t>
      </w:r>
    </w:p>
    <w:p>
      <w:pPr>
        <w:pStyle w:val="Normal"/>
      </w:pPr>
      <w:r>
        <w:t xml:space="preserve">Open interpretation: aggregate prices, quantities, service composition and timing remain to be examined with appropriately complete records. A sample tariff match does not explain the whole paid-rate movement.</w:t>
      </w:r>
    </w:p>
    <w:p>
      <w:pPr>
        <w:pStyle w:val="Normal"/>
      </w:pPr>
      <w:r>
        <w:t xml:space="preserve">Later monitoring (separate question): No later-period records loaded.</w:t>
      </w:r>
    </w:p>
    <w:p>
      <w:pPr>
        <w:pStyle w:val="Normal"/>
      </w:pPr>
      <w:r>
        <w:t xml:space="preserve">Local illustrative review packet only. No request was sent externally and no operational intervention, recovery or saving is represented.</w:t>
      </w:r>
    </w:p>
    <w:p>
      <w:pPr>
        <w:pStyle w:val="Heading2"/>
      </w:pPr>
      <w:r>
        <w:t xml:space="preserve">Selected investigation and result history</w:t>
      </w:r>
    </w:p>
    <w:p>
      <w:pPr>
        <w:pStyle w:val="Normal"/>
      </w:pPr>
      <w:r>
        <w:t xml:space="preserve">Essential / Outpatient care. Care periods Jan–Mar and Apr–Jun 2025; records at 31 August 2025. Mapping MAP-PRIVATE-2025-01 and covered member-month inputs unchanged.</w:t>
      </w:r>
    </w:p>
    <w:tbl>
      <w:tblPr>
        <w:tblW w:w="10080" w:type="dxa"/>
        <w:tblBorders>
          <w:top w:val="single" w:sz="4" w:color="D9D9D9"/>
          <w:left w:val="single" w:sz="4" w:color="D9D9D9"/>
          <w:bottom w:val="single" w:sz="4" w:color="D9D9D9"/>
          <w:right w:val="single" w:sz="4" w:color="D9D9D9"/>
          <w:insideH w:val="single" w:sz="4" w:color="D9D9D9"/>
          <w:insideV w:val="single" w:sz="4" w:color="D9D9D9"/>
        </w:tblBorders>
        <w:tblLayout w:type="fixed"/>
        <w:tblCellMar>
          <w:top w:w="90" w:type="dxa"/>
          <w:left w:w="100" w:type="dxa"/>
          <w:bottom w:w="90" w:type="dxa"/>
          <w:right w:w="100" w:type="dxa"/>
        </w:tblCellMar>
      </w:tblPr>
      <w:tblGrid>
        <w:gridCol w:w="5431"/>
        <w:gridCol w:w="2300"/>
        <w:gridCol w:w="2349"/>
      </w:tblGrid>
      <w:tr>
        <w:trPr>
          <w:tblHeader/>
          <w:cantSplit/>
        </w:trPr>
        <w:tc>
          <w:tcPr>
            <w:tcW w:w="5431" w:type="dxa"/>
            <w:shd w:val="clear" w:color="auto" w:fill="404040"/>
            <w:vAlign w:val="center"/>
          </w:tcPr>
          <w:p>
            <w:pPr>
              <w:pStyle w:val="TableText"/>
              <w:jc w:val="left"/>
              <w:keepNext/>
            </w:pPr>
            <w:r>
              <w:rPr>
                <w:color w:val="FFFFFF"/>
                <w:sz w:val="21"/>
                <w:b/>
              </w:rPr>
              <w:t xml:space="preserve">Comparison</w:t>
            </w:r>
          </w:p>
        </w:tc>
        <w:tc>
          <w:tcPr>
            <w:tcW w:w="2300" w:type="dxa"/>
            <w:shd w:val="clear" w:color="auto" w:fill="404040"/>
            <w:vAlign w:val="center"/>
          </w:tcPr>
          <w:p>
            <w:pPr>
              <w:pStyle w:val="TableText"/>
              <w:jc w:val="right"/>
              <w:keepNext/>
            </w:pPr>
            <w:r>
              <w:rPr>
                <w:color w:val="FFFFFF"/>
                <w:sz w:val="21"/>
                <w:b/>
              </w:rPr>
              <w:t xml:space="preserve">Original v1</w:t>
            </w:r>
          </w:p>
        </w:tc>
        <w:tc>
          <w:tcPr>
            <w:tcW w:w="2349" w:type="dxa"/>
            <w:shd w:val="clear" w:color="auto" w:fill="404040"/>
            <w:vAlign w:val="center"/>
          </w:tcPr>
          <w:p>
            <w:pPr>
              <w:pStyle w:val="TableText"/>
              <w:jc w:val="right"/>
              <w:keepNext/>
            </w:pPr>
            <w:r>
              <w:rPr>
                <w:color w:val="FFFFFF"/>
                <w:sz w:val="21"/>
                <w:b/>
              </w:rPr>
              <w:t xml:space="preserve">Corrected v2</w:t>
            </w:r>
          </w:p>
        </w:tc>
      </w:tr>
      <w:tr>
        <w:trPr>
          <w:cantSplit/>
        </w:trPr>
        <w:tc>
          <w:tcPr>
            <w:tcW w:w="5431" w:type="dxa"/>
            <w:shd w:val="clear" w:color="auto" w:fill="FFFFFF"/>
            <w:vAlign w:val="center"/>
          </w:tcPr>
          <w:p>
            <w:pPr>
              <w:pStyle w:val="TableText"/>
              <w:jc w:val="left"/>
            </w:pPr>
            <w:r>
              <w:rPr>
                <w:color w:val="000000"/>
                <w:sz w:val="21"/>
              </w:rPr>
              <w:t xml:space="preserve">Selected service Jan–Mar paid</w:t>
            </w:r>
          </w:p>
        </w:tc>
        <w:tc>
          <w:tcPr>
            <w:tcW w:w="2300" w:type="dxa"/>
            <w:shd w:val="clear" w:color="auto" w:fill="FFFFFF"/>
            <w:vAlign w:val="center"/>
          </w:tcPr>
          <w:p>
            <w:pPr>
              <w:pStyle w:val="TableText"/>
              <w:jc w:val="right"/>
            </w:pPr>
            <w:r>
              <w:rPr>
                <w:color w:val="000000"/>
                <w:sz w:val="21"/>
              </w:rPr>
              <w:t xml:space="preserve">₦24.000m</w:t>
            </w:r>
          </w:p>
        </w:tc>
        <w:tc>
          <w:tcPr>
            <w:tcW w:w="2349" w:type="dxa"/>
            <w:shd w:val="clear" w:color="auto" w:fill="FFFFFF"/>
            <w:vAlign w:val="center"/>
          </w:tcPr>
          <w:p>
            <w:pPr>
              <w:pStyle w:val="TableText"/>
              <w:jc w:val="right"/>
            </w:pPr>
            <w:r>
              <w:rPr>
                <w:color w:val="000000"/>
                <w:sz w:val="21"/>
              </w:rPr>
              <w:t xml:space="preserve">₦28.000m</w:t>
            </w:r>
          </w:p>
        </w:tc>
      </w:tr>
      <w:tr>
        <w:trPr>
          <w:cantSplit/>
        </w:trPr>
        <w:tc>
          <w:tcPr>
            <w:tcW w:w="5431" w:type="dxa"/>
            <w:shd w:val="clear" w:color="auto" w:fill="F3F4F5"/>
            <w:vAlign w:val="center"/>
          </w:tcPr>
          <w:p>
            <w:pPr>
              <w:pStyle w:val="TableText"/>
              <w:jc w:val="left"/>
            </w:pPr>
            <w:r>
              <w:rPr>
                <w:color w:val="000000"/>
                <w:sz w:val="21"/>
              </w:rPr>
              <w:t xml:space="preserve">Selected service Apr–Jun paid</w:t>
            </w:r>
          </w:p>
        </w:tc>
        <w:tc>
          <w:tcPr>
            <w:tcW w:w="2300" w:type="dxa"/>
            <w:shd w:val="clear" w:color="auto" w:fill="F3F4F5"/>
            <w:vAlign w:val="center"/>
          </w:tcPr>
          <w:p>
            <w:pPr>
              <w:pStyle w:val="TableText"/>
              <w:jc w:val="right"/>
            </w:pPr>
            <w:r>
              <w:rPr>
                <w:color w:val="000000"/>
                <w:sz w:val="21"/>
              </w:rPr>
              <w:t xml:space="preserve">₦24.335m</w:t>
            </w:r>
          </w:p>
        </w:tc>
        <w:tc>
          <w:tcPr>
            <w:tcW w:w="2349" w:type="dxa"/>
            <w:shd w:val="clear" w:color="auto" w:fill="F3F4F5"/>
            <w:vAlign w:val="center"/>
          </w:tcPr>
          <w:p>
            <w:pPr>
              <w:pStyle w:val="TableText"/>
              <w:jc w:val="right"/>
            </w:pPr>
            <w:r>
              <w:rPr>
                <w:color w:val="000000"/>
                <w:sz w:val="21"/>
              </w:rPr>
              <w:t xml:space="preserve">₦24.335m</w:t>
            </w:r>
          </w:p>
        </w:tc>
      </w:tr>
      <w:tr>
        <w:trPr>
          <w:cantSplit/>
        </w:trPr>
        <w:tc>
          <w:tcPr>
            <w:tcW w:w="5431" w:type="dxa"/>
            <w:shd w:val="clear" w:color="auto" w:fill="FFFFFF"/>
            <w:vAlign w:val="center"/>
          </w:tcPr>
          <w:p>
            <w:pPr>
              <w:pStyle w:val="TableText"/>
              <w:jc w:val="left"/>
            </w:pPr>
            <w:r>
              <w:rPr>
                <w:color w:val="000000"/>
                <w:sz w:val="21"/>
              </w:rPr>
              <w:t xml:space="preserve">Selected service paid-rate change</w:t>
            </w:r>
          </w:p>
        </w:tc>
        <w:tc>
          <w:tcPr>
            <w:tcW w:w="2300" w:type="dxa"/>
            <w:shd w:val="clear" w:color="auto" w:fill="FFFFFF"/>
            <w:vAlign w:val="center"/>
          </w:tcPr>
          <w:p>
            <w:pPr>
              <w:pStyle w:val="TableText"/>
              <w:jc w:val="right"/>
            </w:pPr>
            <w:r>
              <w:rPr>
                <w:color w:val="000000"/>
                <w:sz w:val="21"/>
              </w:rPr>
              <w:t xml:space="preserve">22.9%</w:t>
            </w:r>
          </w:p>
        </w:tc>
        <w:tc>
          <w:tcPr>
            <w:tcW w:w="2349" w:type="dxa"/>
            <w:shd w:val="clear" w:color="auto" w:fill="FFFFFF"/>
            <w:vAlign w:val="center"/>
          </w:tcPr>
          <w:p>
            <w:pPr>
              <w:pStyle w:val="TableText"/>
              <w:jc w:val="right"/>
            </w:pPr>
            <w:r>
              <w:rPr>
                <w:color w:val="000000"/>
                <w:sz w:val="21"/>
              </w:rPr>
              <w:t xml:space="preserve">5.3%</w:t>
            </w:r>
          </w:p>
        </w:tc>
      </w:tr>
      <w:tr>
        <w:trPr>
          <w:cantSplit/>
        </w:trPr>
        <w:tc>
          <w:tcPr>
            <w:tcW w:w="5431" w:type="dxa"/>
            <w:shd w:val="clear" w:color="auto" w:fill="F3F4F5"/>
            <w:vAlign w:val="center"/>
          </w:tcPr>
          <w:p>
            <w:pPr>
              <w:pStyle w:val="TableText"/>
              <w:jc w:val="left"/>
            </w:pPr>
            <w:r>
              <w:rPr>
                <w:color w:val="000000"/>
                <w:sz w:val="21"/>
              </w:rPr>
              <w:t xml:space="preserve">Selected plan paid-rate change</w:t>
            </w:r>
          </w:p>
        </w:tc>
        <w:tc>
          <w:tcPr>
            <w:tcW w:w="2300" w:type="dxa"/>
            <w:shd w:val="clear" w:color="auto" w:fill="F3F4F5"/>
            <w:vAlign w:val="center"/>
          </w:tcPr>
          <w:p>
            <w:pPr>
              <w:pStyle w:val="TableText"/>
              <w:jc w:val="right"/>
            </w:pPr>
            <w:r>
              <w:rPr>
                <w:color w:val="000000"/>
                <w:sz w:val="21"/>
              </w:rPr>
              <w:t xml:space="preserve">18.2%</w:t>
            </w:r>
          </w:p>
        </w:tc>
        <w:tc>
          <w:tcPr>
            <w:tcW w:w="2349" w:type="dxa"/>
            <w:shd w:val="clear" w:color="auto" w:fill="F3F4F5"/>
            <w:vAlign w:val="center"/>
          </w:tcPr>
          <w:p>
            <w:pPr>
              <w:pStyle w:val="TableText"/>
              <w:jc w:val="right"/>
            </w:pPr>
            <w:r>
              <w:rPr>
                <w:color w:val="000000"/>
                <w:sz w:val="21"/>
              </w:rPr>
              <w:t xml:space="preserve">9.8%</w:t>
            </w:r>
          </w:p>
        </w:tc>
      </w:tr>
      <w:tr>
        <w:trPr>
          <w:cantSplit/>
        </w:trPr>
        <w:tc>
          <w:tcPr>
            <w:tcW w:w="5431" w:type="dxa"/>
            <w:shd w:val="clear" w:color="auto" w:fill="FFFFFF"/>
            <w:vAlign w:val="center"/>
          </w:tcPr>
          <w:p>
            <w:pPr>
              <w:pStyle w:val="TableText"/>
              <w:jc w:val="left"/>
            </w:pPr>
            <w:r>
              <w:rPr>
                <w:color w:val="000000"/>
                <w:sz w:val="21"/>
              </w:rPr>
              <w:t xml:space="preserve">Estimated healthcare-cost increase</w:t>
            </w:r>
          </w:p>
        </w:tc>
        <w:tc>
          <w:tcPr>
            <w:tcW w:w="2300" w:type="dxa"/>
            <w:shd w:val="clear" w:color="auto" w:fill="FFFFFF"/>
            <w:vAlign w:val="center"/>
          </w:tcPr>
          <w:p>
            <w:pPr>
              <w:pStyle w:val="TableText"/>
              <w:jc w:val="right"/>
            </w:pPr>
            <w:r>
              <w:rPr>
                <w:color w:val="000000"/>
                <w:sz w:val="21"/>
              </w:rPr>
              <w:t xml:space="preserve">₦47.8m</w:t>
            </w:r>
          </w:p>
        </w:tc>
        <w:tc>
          <w:tcPr>
            <w:tcW w:w="2349" w:type="dxa"/>
            <w:shd w:val="clear" w:color="auto" w:fill="FFFFFF"/>
            <w:vAlign w:val="center"/>
          </w:tcPr>
          <w:p>
            <w:pPr>
              <w:pStyle w:val="TableText"/>
              <w:jc w:val="right"/>
            </w:pPr>
            <w:r>
              <w:rPr>
                <w:color w:val="000000"/>
                <w:sz w:val="21"/>
              </w:rPr>
              <w:t xml:space="preserve">₦43.8m</w:t>
            </w:r>
          </w:p>
        </w:tc>
      </w:tr>
      <w:tr>
        <w:trPr>
          <w:cantSplit/>
        </w:trPr>
        <w:tc>
          <w:tcPr>
            <w:tcW w:w="5431" w:type="dxa"/>
            <w:shd w:val="clear" w:color="auto" w:fill="F3F4F5"/>
            <w:vAlign w:val="center"/>
          </w:tcPr>
          <w:p>
            <w:pPr>
              <w:pStyle w:val="TableText"/>
              <w:jc w:val="left"/>
            </w:pPr>
            <w:r>
              <w:rPr>
                <w:color w:val="000000"/>
                <w:sz w:val="21"/>
              </w:rPr>
              <w:t xml:space="preserve">Paid increase</w:t>
            </w:r>
          </w:p>
        </w:tc>
        <w:tc>
          <w:tcPr>
            <w:tcW w:w="2300" w:type="dxa"/>
            <w:shd w:val="clear" w:color="auto" w:fill="F3F4F5"/>
            <w:vAlign w:val="center"/>
          </w:tcPr>
          <w:p>
            <w:pPr>
              <w:pStyle w:val="TableText"/>
              <w:jc w:val="right"/>
            </w:pPr>
            <w:r>
              <w:rPr>
                <w:color w:val="000000"/>
                <w:sz w:val="21"/>
              </w:rPr>
              <w:t xml:space="preserve">₦42.0m</w:t>
            </w:r>
          </w:p>
        </w:tc>
        <w:tc>
          <w:tcPr>
            <w:tcW w:w="2349" w:type="dxa"/>
            <w:shd w:val="clear" w:color="auto" w:fill="F3F4F5"/>
            <w:vAlign w:val="center"/>
          </w:tcPr>
          <w:p>
            <w:pPr>
              <w:pStyle w:val="TableText"/>
              <w:jc w:val="right"/>
            </w:pPr>
            <w:r>
              <w:rPr>
                <w:color w:val="000000"/>
                <w:sz w:val="21"/>
              </w:rPr>
              <w:t xml:space="preserve">₦38.0m</w:t>
            </w:r>
          </w:p>
        </w:tc>
      </w:tr>
      <w:tr>
        <w:trPr>
          <w:cantSplit/>
        </w:trPr>
        <w:tc>
          <w:tcPr>
            <w:tcW w:w="5431" w:type="dxa"/>
            <w:shd w:val="clear" w:color="auto" w:fill="FFFFFF"/>
            <w:vAlign w:val="center"/>
          </w:tcPr>
          <w:p>
            <w:pPr>
              <w:pStyle w:val="TableText"/>
              <w:jc w:val="left"/>
            </w:pPr>
            <w:r>
              <w:rPr>
                <w:color w:val="000000"/>
                <w:sz w:val="21"/>
              </w:rPr>
              <w:t xml:space="preserve">Net within-plan paid-rate movement</w:t>
            </w:r>
          </w:p>
        </w:tc>
        <w:tc>
          <w:tcPr>
            <w:tcW w:w="2300" w:type="dxa"/>
            <w:shd w:val="clear" w:color="auto" w:fill="FFFFFF"/>
            <w:vAlign w:val="center"/>
          </w:tcPr>
          <w:p>
            <w:pPr>
              <w:pStyle w:val="TableText"/>
              <w:jc w:val="right"/>
            </w:pPr>
            <w:r>
              <w:rPr>
                <w:color w:val="000000"/>
                <w:sz w:val="21"/>
              </w:rPr>
              <w:t xml:space="preserve">₦10.61433m</w:t>
            </w:r>
          </w:p>
        </w:tc>
        <w:tc>
          <w:tcPr>
            <w:tcW w:w="2349" w:type="dxa"/>
            <w:shd w:val="clear" w:color="auto" w:fill="FFFFFF"/>
            <w:vAlign w:val="center"/>
          </w:tcPr>
          <w:p>
            <w:pPr>
              <w:pStyle w:val="TableText"/>
              <w:jc w:val="right"/>
            </w:pPr>
            <w:r>
              <w:rPr>
                <w:color w:val="000000"/>
                <w:sz w:val="21"/>
              </w:rPr>
              <w:t xml:space="preserve">₦6.93933m</w:t>
            </w:r>
          </w:p>
        </w:tc>
      </w:tr>
    </w:tbl>
    <w:p>
      <w:pPr>
        <w:pStyle w:val="AfterTable"/>
      </w:pPr>
      <w:r>
        <w:t xml:space="preserve"/>
      </w:r>
    </w:p>
    <w:p>
      <w:pPr>
        <w:pStyle w:val="Normal"/>
      </w:pPr>
      <w:r>
        <w:t xml:space="preserve">Paid rate means paid claims per covered member-month. Result v2 is current. Original v1 is retained as history; loading v2 does not establish an independent check.</w:t>
      </w:r>
    </w:p>
    <w:p>
      <w:pPr>
        <w:pStyle w:val="Normal"/>
      </w:pPr>
      <w:r>
        <w:t xml:space="preserve">Correction source: EV-02; omitted Essential outpatient batch SYN-ESS-OP-BASE-04, ₦4m. Original SOURCE-PRIVATE-2025-v1; corrected SOURCE-PRIVATE-2025-v2. The correction changes only that service’s earlier baseline. EV-01 is an Essential outpatient tariff circular, with application examined separately in the supplied sample; neither source covers Plus.</w:t>
      </w:r>
    </w:p>
    <w:p>
      <w:pPr>
        <w:pStyle w:val="Heading1"/>
      </w:pPr>
      <w:r>
        <w:t xml:space="preserve">Evidence review</w:t>
      </w:r>
    </w:p>
    <w:p>
      <w:pPr>
        <w:pStyle w:val="Normal"/>
      </w:pPr>
      <w:r>
        <w:t xml:space="preserve">Baseline scope: Essential outpatient; Jan–Mar 2025; records at 31 August 2025. Opened records: register, export, payment.</w:t>
      </w:r>
    </w:p>
    <w:p>
      <w:pPr>
        <w:pStyle w:val="Normal"/>
      </w:pPr>
      <w:r>
        <w:t xml:space="preserve">Explicit reconciliation completed: source register ₦28m; original export ₦24m; batch SYN-ESS-OP-BASE-04 omitted, ₦4m. Payment confirmation matches. The corrected preview includes it once. Applying the financial correction is a separate action reflected by the current account result. These supplied fictional records do not prove full source completeness.</w:t>
      </w:r>
    </w:p>
    <w:p>
      <w:pPr>
        <w:pStyle w:val="Heading2"/>
      </w:pPr>
      <w:r>
        <w:t xml:space="preserve">Evidence request status</w:t>
      </w:r>
    </w:p>
    <w:p>
      <w:pPr>
        <w:pStyle w:val="Normal"/>
      </w:pPr>
      <w:r>
        <w:t xml:space="preserve">Request CR-001. Line check complete · two records held.</w:t>
      </w:r>
    </w:p>
    <w:p>
      <w:pPr>
        <w:pStyle w:val="Normal"/>
      </w:pPr>
      <w:r>
        <w:t xml:space="preserve">Scope: Essential / Outpatient care; captured v2; SOURCE-PRIVATE-2025-v2; MAP-PRIVATE-2025-01. Care periods Jan–Mar and Apr–Jun 2025. Records cutoff 31 August 2025.</w:t>
      </w:r>
    </w:p>
    <w:p>
      <w:pPr>
        <w:pStyle w:val="Normal"/>
      </w:pPr>
      <w:r>
        <w:t xml:space="preserve">Question: What explains the paid-claims movement per covered member-month in Essential / Outpatient care?</w:t>
      </w:r>
    </w:p>
    <w:p>
      <w:pPr>
        <w:pStyle w:val="Normal"/>
      </w:pPr>
      <w:r>
        <w:t xml:space="preserve">Responsible role: Claims review analyst.</w:t>
      </w:r>
    </w:p>
    <w:p>
      <w:pPr>
        <w:pStyle w:val="Normal"/>
      </w:pPr>
      <w:r>
        <w:t xml:space="preserve">For Essential / Outpatient care, supply the applicable dated tariff items and matched paid claim lines for Jan–Mar and Apr–Jun 2025, using records at 31 August 2025. Include line IDs, provider, plan, service item code, care date, payment date, quantity and paid amount. State which requested records are unavailable and why.</w:t>
      </w:r>
    </w:p>
    <w:p>
      <w:pPr>
        <w:pStyle w:val="Normal"/>
      </w:pPr>
      <w:r>
        <w:t xml:space="preserve">Return: EV-04. Opened: yes. Explicit line check: run.</w:t>
      </w:r>
    </w:p>
    <w:p>
      <w:pPr>
        <w:pStyle w:val="Normal"/>
      </w:pPr>
      <w:r>
        <w:t xml:space="preserve">Returned provider: Brookfield Medical Centre. Four lines match their dated tariff items; two held records need clarification.</w:t>
      </w:r>
    </w:p>
    <w:tbl>
      <w:tblPr>
        <w:tblW w:w="10080" w:type="dxa"/>
        <w:tblBorders>
          <w:top w:val="single" w:sz="4" w:color="D9D9D9"/>
          <w:left w:val="single" w:sz="4" w:color="D9D9D9"/>
          <w:bottom w:val="single" w:sz="4" w:color="D9D9D9"/>
          <w:right w:val="single" w:sz="4" w:color="D9D9D9"/>
          <w:insideH w:val="single" w:sz="4" w:color="D9D9D9"/>
          <w:insideV w:val="single" w:sz="4" w:color="D9D9D9"/>
        </w:tblBorders>
        <w:tblLayout w:type="fixed"/>
        <w:tblCellMar>
          <w:top w:w="90" w:type="dxa"/>
          <w:left w:w="100" w:type="dxa"/>
          <w:bottom w:w="90" w:type="dxa"/>
          <w:right w:w="100" w:type="dxa"/>
        </w:tblCellMar>
      </w:tblPr>
      <w:tblGrid>
        <w:gridCol w:w="2120"/>
        <w:gridCol w:w="1375"/>
        <w:gridCol w:w="1375"/>
        <w:gridCol w:w="1246"/>
        <w:gridCol w:w="1246"/>
        <w:gridCol w:w="1470"/>
        <w:gridCol w:w="1248"/>
      </w:tblGrid>
      <w:tr>
        <w:trPr>
          <w:tblHeader/>
          <w:cantSplit/>
        </w:trPr>
        <w:tc>
          <w:tcPr>
            <w:tcW w:w="2120" w:type="dxa"/>
            <w:shd w:val="clear" w:color="auto" w:fill="404040"/>
            <w:vAlign w:val="center"/>
          </w:tcPr>
          <w:p>
            <w:pPr>
              <w:pStyle w:val="TableText"/>
              <w:jc w:val="left"/>
              <w:keepNext/>
            </w:pPr>
            <w:r>
              <w:rPr>
                <w:color w:val="FFFFFF"/>
                <w:sz w:val="19"/>
                <w:b/>
              </w:rPr>
              <w:t xml:space="preserve">Paid-line ID / item</w:t>
            </w:r>
          </w:p>
        </w:tc>
        <w:tc>
          <w:tcPr>
            <w:tcW w:w="1375" w:type="dxa"/>
            <w:shd w:val="clear" w:color="auto" w:fill="404040"/>
            <w:vAlign w:val="center"/>
          </w:tcPr>
          <w:p>
            <w:pPr>
              <w:pStyle w:val="TableText"/>
              <w:jc w:val="left"/>
              <w:keepNext/>
            </w:pPr>
            <w:r>
              <w:rPr>
                <w:color w:val="FFFFFF"/>
                <w:sz w:val="19"/>
                <w:b/>
              </w:rPr>
              <w:t xml:space="preserve">Care date</w:t>
            </w:r>
          </w:p>
        </w:tc>
        <w:tc>
          <w:tcPr>
            <w:tcW w:w="1375" w:type="dxa"/>
            <w:shd w:val="clear" w:color="auto" w:fill="404040"/>
            <w:vAlign w:val="center"/>
          </w:tcPr>
          <w:p>
            <w:pPr>
              <w:pStyle w:val="TableText"/>
              <w:jc w:val="left"/>
              <w:keepNext/>
            </w:pPr>
            <w:r>
              <w:rPr>
                <w:color w:val="FFFFFF"/>
                <w:sz w:val="19"/>
                <w:b/>
              </w:rPr>
              <w:t xml:space="preserve">Paid date</w:t>
            </w:r>
          </w:p>
        </w:tc>
        <w:tc>
          <w:tcPr>
            <w:tcW w:w="1246" w:type="dxa"/>
            <w:shd w:val="clear" w:color="auto" w:fill="404040"/>
            <w:vAlign w:val="center"/>
          </w:tcPr>
          <w:p>
            <w:pPr>
              <w:pStyle w:val="TableText"/>
              <w:jc w:val="right"/>
              <w:keepNext/>
            </w:pPr>
            <w:r>
              <w:rPr>
                <w:color w:val="FFFFFF"/>
                <w:sz w:val="19"/>
                <w:b/>
              </w:rPr>
              <w:t xml:space="preserve">Quantity</w:t>
            </w:r>
          </w:p>
        </w:tc>
        <w:tc>
          <w:tcPr>
            <w:tcW w:w="1246" w:type="dxa"/>
            <w:shd w:val="clear" w:color="auto" w:fill="404040"/>
            <w:vAlign w:val="center"/>
          </w:tcPr>
          <w:p>
            <w:pPr>
              <w:pStyle w:val="TableText"/>
              <w:jc w:val="right"/>
              <w:keepNext/>
            </w:pPr>
            <w:r>
              <w:rPr>
                <w:color w:val="FFFFFF"/>
                <w:sz w:val="19"/>
                <w:b/>
              </w:rPr>
              <w:t xml:space="preserve">Paid NGN</w:t>
            </w:r>
          </w:p>
        </w:tc>
        <w:tc>
          <w:tcPr>
            <w:tcW w:w="1470" w:type="dxa"/>
            <w:shd w:val="clear" w:color="auto" w:fill="404040"/>
            <w:vAlign w:val="center"/>
          </w:tcPr>
          <w:p>
            <w:pPr>
              <w:pStyle w:val="TableText"/>
              <w:jc w:val="right"/>
              <w:keepNext/>
            </w:pPr>
            <w:r>
              <w:rPr>
                <w:color w:val="FFFFFF"/>
                <w:sz w:val="19"/>
                <w:b/>
              </w:rPr>
              <w:t xml:space="preserve">Expected NGN</w:t>
            </w:r>
          </w:p>
        </w:tc>
        <w:tc>
          <w:tcPr>
            <w:tcW w:w="1248" w:type="dxa"/>
            <w:shd w:val="clear" w:color="auto" w:fill="404040"/>
            <w:vAlign w:val="center"/>
          </w:tcPr>
          <w:p>
            <w:pPr>
              <w:pStyle w:val="TableText"/>
              <w:jc w:val="left"/>
              <w:keepNext/>
            </w:pPr>
            <w:r>
              <w:rPr>
                <w:color w:val="FFFFFF"/>
                <w:sz w:val="19"/>
                <w:b/>
              </w:rPr>
              <w:t xml:space="preserve">Result</w:t>
            </w:r>
          </w:p>
        </w:tc>
      </w:tr>
      <w:tr>
        <w:trPr>
          <w:cantSplit/>
        </w:trPr>
        <w:tc>
          <w:tcPr>
            <w:tcW w:w="2120" w:type="dxa"/>
            <w:shd w:val="clear" w:color="auto" w:fill="FFFFFF"/>
            <w:vAlign w:val="center"/>
          </w:tcPr>
          <w:p>
            <w:pPr>
              <w:pStyle w:val="TableText"/>
              <w:jc w:val="left"/>
            </w:pPr>
            <w:r>
              <w:rPr>
                <w:color w:val="000000"/>
                <w:sz w:val="19"/>
              </w:rPr>
              <w:t xml:space="preserve">SYN-PAID-LINE-001 / OP-CONS</w:t>
            </w:r>
          </w:p>
        </w:tc>
        <w:tc>
          <w:tcPr>
            <w:tcW w:w="1375" w:type="dxa"/>
            <w:shd w:val="clear" w:color="auto" w:fill="FFFFFF"/>
            <w:vAlign w:val="center"/>
          </w:tcPr>
          <w:p>
            <w:pPr>
              <w:pStyle w:val="TableText"/>
              <w:jc w:val="left"/>
            </w:pPr>
            <w:r>
              <w:rPr>
                <w:color w:val="000000"/>
                <w:sz w:val="19"/>
              </w:rPr>
              <w:t xml:space="preserve">2025-02-12</w:t>
            </w:r>
          </w:p>
        </w:tc>
        <w:tc>
          <w:tcPr>
            <w:tcW w:w="1375" w:type="dxa"/>
            <w:shd w:val="clear" w:color="auto" w:fill="FFFFFF"/>
            <w:vAlign w:val="center"/>
          </w:tcPr>
          <w:p>
            <w:pPr>
              <w:pStyle w:val="TableText"/>
              <w:jc w:val="left"/>
            </w:pPr>
            <w:r>
              <w:rPr>
                <w:color w:val="000000"/>
                <w:sz w:val="19"/>
              </w:rPr>
              <w:t xml:space="preserve">2025-04-18</w:t>
            </w:r>
          </w:p>
        </w:tc>
        <w:tc>
          <w:tcPr>
            <w:tcW w:w="1246" w:type="dxa"/>
            <w:shd w:val="clear" w:color="auto" w:fill="FFFFFF"/>
            <w:vAlign w:val="center"/>
          </w:tcPr>
          <w:p>
            <w:pPr>
              <w:pStyle w:val="TableText"/>
              <w:jc w:val="right"/>
            </w:pPr>
            <w:r>
              <w:rPr>
                <w:color w:val="000000"/>
                <w:sz w:val="19"/>
              </w:rPr>
              <w:t xml:space="preserve">2</w:t>
            </w:r>
          </w:p>
        </w:tc>
        <w:tc>
          <w:tcPr>
            <w:tcW w:w="1246" w:type="dxa"/>
            <w:shd w:val="clear" w:color="auto" w:fill="FFFFFF"/>
            <w:vAlign w:val="center"/>
          </w:tcPr>
          <w:p>
            <w:pPr>
              <w:pStyle w:val="TableText"/>
              <w:jc w:val="right"/>
            </w:pPr>
            <w:r>
              <w:rPr>
                <w:color w:val="000000"/>
                <w:sz w:val="19"/>
              </w:rPr>
              <w:t xml:space="preserve">10000</w:t>
            </w:r>
          </w:p>
        </w:tc>
        <w:tc>
          <w:tcPr>
            <w:tcW w:w="1470" w:type="dxa"/>
            <w:shd w:val="clear" w:color="auto" w:fill="FFFFFF"/>
            <w:vAlign w:val="center"/>
          </w:tcPr>
          <w:p>
            <w:pPr>
              <w:pStyle w:val="TableText"/>
              <w:jc w:val="right"/>
            </w:pPr>
            <w:r>
              <w:rPr>
                <w:color w:val="000000"/>
                <w:sz w:val="19"/>
              </w:rPr>
              <w:t xml:space="preserve">10000</w:t>
            </w:r>
          </w:p>
        </w:tc>
        <w:tc>
          <w:tcPr>
            <w:tcW w:w="1248" w:type="dxa"/>
            <w:shd w:val="clear" w:color="auto" w:fill="FFFFFF"/>
            <w:vAlign w:val="center"/>
          </w:tcPr>
          <w:p>
            <w:pPr>
              <w:pStyle w:val="TableText"/>
              <w:jc w:val="left"/>
            </w:pPr>
            <w:r>
              <w:rPr>
                <w:color w:val="000000"/>
                <w:sz w:val="19"/>
              </w:rPr>
              <w:t xml:space="preserve">matched</w:t>
            </w:r>
          </w:p>
        </w:tc>
      </w:tr>
      <w:tr>
        <w:trPr>
          <w:cantSplit/>
        </w:trPr>
        <w:tc>
          <w:tcPr>
            <w:tcW w:w="2120" w:type="dxa"/>
            <w:shd w:val="clear" w:color="auto" w:fill="F3F4F5"/>
            <w:vAlign w:val="center"/>
          </w:tcPr>
          <w:p>
            <w:pPr>
              <w:pStyle w:val="TableText"/>
              <w:jc w:val="left"/>
            </w:pPr>
            <w:r>
              <w:rPr>
                <w:color w:val="000000"/>
                <w:sz w:val="19"/>
              </w:rPr>
              <w:t xml:space="preserve">SYN-PAID-LINE-002 / OP-FBC</w:t>
            </w:r>
          </w:p>
        </w:tc>
        <w:tc>
          <w:tcPr>
            <w:tcW w:w="1375" w:type="dxa"/>
            <w:shd w:val="clear" w:color="auto" w:fill="F3F4F5"/>
            <w:vAlign w:val="center"/>
          </w:tcPr>
          <w:p>
            <w:pPr>
              <w:pStyle w:val="TableText"/>
              <w:jc w:val="left"/>
            </w:pPr>
            <w:r>
              <w:rPr>
                <w:color w:val="000000"/>
                <w:sz w:val="19"/>
              </w:rPr>
              <w:t xml:space="preserve">2025-03-11</w:t>
            </w:r>
          </w:p>
        </w:tc>
        <w:tc>
          <w:tcPr>
            <w:tcW w:w="1375" w:type="dxa"/>
            <w:shd w:val="clear" w:color="auto" w:fill="F3F4F5"/>
            <w:vAlign w:val="center"/>
          </w:tcPr>
          <w:p>
            <w:pPr>
              <w:pStyle w:val="TableText"/>
              <w:jc w:val="left"/>
            </w:pPr>
            <w:r>
              <w:rPr>
                <w:color w:val="000000"/>
                <w:sz w:val="19"/>
              </w:rPr>
              <w:t xml:space="preserve">2025-05-09</w:t>
            </w:r>
          </w:p>
        </w:tc>
        <w:tc>
          <w:tcPr>
            <w:tcW w:w="1246" w:type="dxa"/>
            <w:shd w:val="clear" w:color="auto" w:fill="F3F4F5"/>
            <w:vAlign w:val="center"/>
          </w:tcPr>
          <w:p>
            <w:pPr>
              <w:pStyle w:val="TableText"/>
              <w:jc w:val="right"/>
            </w:pPr>
            <w:r>
              <w:rPr>
                <w:color w:val="000000"/>
                <w:sz w:val="19"/>
              </w:rPr>
              <w:t xml:space="preserve">3</w:t>
            </w:r>
          </w:p>
        </w:tc>
        <w:tc>
          <w:tcPr>
            <w:tcW w:w="1246" w:type="dxa"/>
            <w:shd w:val="clear" w:color="auto" w:fill="F3F4F5"/>
            <w:vAlign w:val="center"/>
          </w:tcPr>
          <w:p>
            <w:pPr>
              <w:pStyle w:val="TableText"/>
              <w:jc w:val="right"/>
            </w:pPr>
            <w:r>
              <w:rPr>
                <w:color w:val="000000"/>
                <w:sz w:val="19"/>
              </w:rPr>
              <w:t xml:space="preserve">9000</w:t>
            </w:r>
          </w:p>
        </w:tc>
        <w:tc>
          <w:tcPr>
            <w:tcW w:w="1470" w:type="dxa"/>
            <w:shd w:val="clear" w:color="auto" w:fill="F3F4F5"/>
            <w:vAlign w:val="center"/>
          </w:tcPr>
          <w:p>
            <w:pPr>
              <w:pStyle w:val="TableText"/>
              <w:jc w:val="right"/>
            </w:pPr>
            <w:r>
              <w:rPr>
                <w:color w:val="000000"/>
                <w:sz w:val="19"/>
              </w:rPr>
              <w:t xml:space="preserve">9000</w:t>
            </w:r>
          </w:p>
        </w:tc>
        <w:tc>
          <w:tcPr>
            <w:tcW w:w="1248" w:type="dxa"/>
            <w:shd w:val="clear" w:color="auto" w:fill="F3F4F5"/>
            <w:vAlign w:val="center"/>
          </w:tcPr>
          <w:p>
            <w:pPr>
              <w:pStyle w:val="TableText"/>
              <w:jc w:val="left"/>
            </w:pPr>
            <w:r>
              <w:rPr>
                <w:color w:val="000000"/>
                <w:sz w:val="19"/>
              </w:rPr>
              <w:t xml:space="preserve">matched</w:t>
            </w:r>
          </w:p>
        </w:tc>
      </w:tr>
      <w:tr>
        <w:trPr>
          <w:cantSplit/>
        </w:trPr>
        <w:tc>
          <w:tcPr>
            <w:tcW w:w="2120" w:type="dxa"/>
            <w:shd w:val="clear" w:color="auto" w:fill="FFFFFF"/>
            <w:vAlign w:val="center"/>
          </w:tcPr>
          <w:p>
            <w:pPr>
              <w:pStyle w:val="TableText"/>
              <w:jc w:val="left"/>
            </w:pPr>
            <w:r>
              <w:rPr>
                <w:color w:val="000000"/>
                <w:sz w:val="19"/>
              </w:rPr>
              <w:t xml:space="preserve">SYN-PAID-LINE-003 / OP-CONS</w:t>
            </w:r>
          </w:p>
        </w:tc>
        <w:tc>
          <w:tcPr>
            <w:tcW w:w="1375" w:type="dxa"/>
            <w:shd w:val="clear" w:color="auto" w:fill="FFFFFF"/>
            <w:vAlign w:val="center"/>
          </w:tcPr>
          <w:p>
            <w:pPr>
              <w:pStyle w:val="TableText"/>
              <w:jc w:val="left"/>
            </w:pPr>
            <w:r>
              <w:rPr>
                <w:color w:val="000000"/>
                <w:sz w:val="19"/>
              </w:rPr>
              <w:t xml:space="preserve">2025-04-14</w:t>
            </w:r>
          </w:p>
        </w:tc>
        <w:tc>
          <w:tcPr>
            <w:tcW w:w="1375" w:type="dxa"/>
            <w:shd w:val="clear" w:color="auto" w:fill="FFFFFF"/>
            <w:vAlign w:val="center"/>
          </w:tcPr>
          <w:p>
            <w:pPr>
              <w:pStyle w:val="TableText"/>
              <w:jc w:val="left"/>
            </w:pPr>
            <w:r>
              <w:rPr>
                <w:color w:val="000000"/>
                <w:sz w:val="19"/>
              </w:rPr>
              <w:t xml:space="preserve">2025-06-13</w:t>
            </w:r>
          </w:p>
        </w:tc>
        <w:tc>
          <w:tcPr>
            <w:tcW w:w="1246" w:type="dxa"/>
            <w:shd w:val="clear" w:color="auto" w:fill="FFFFFF"/>
            <w:vAlign w:val="center"/>
          </w:tcPr>
          <w:p>
            <w:pPr>
              <w:pStyle w:val="TableText"/>
              <w:jc w:val="right"/>
            </w:pPr>
            <w:r>
              <w:rPr>
                <w:color w:val="000000"/>
                <w:sz w:val="19"/>
              </w:rPr>
              <w:t xml:space="preserve">2</w:t>
            </w:r>
          </w:p>
        </w:tc>
        <w:tc>
          <w:tcPr>
            <w:tcW w:w="1246" w:type="dxa"/>
            <w:shd w:val="clear" w:color="auto" w:fill="FFFFFF"/>
            <w:vAlign w:val="center"/>
          </w:tcPr>
          <w:p>
            <w:pPr>
              <w:pStyle w:val="TableText"/>
              <w:jc w:val="right"/>
            </w:pPr>
            <w:r>
              <w:rPr>
                <w:color w:val="000000"/>
                <w:sz w:val="19"/>
              </w:rPr>
              <w:t xml:space="preserve">11000</w:t>
            </w:r>
          </w:p>
        </w:tc>
        <w:tc>
          <w:tcPr>
            <w:tcW w:w="1470" w:type="dxa"/>
            <w:shd w:val="clear" w:color="auto" w:fill="FFFFFF"/>
            <w:vAlign w:val="center"/>
          </w:tcPr>
          <w:p>
            <w:pPr>
              <w:pStyle w:val="TableText"/>
              <w:jc w:val="right"/>
            </w:pPr>
            <w:r>
              <w:rPr>
                <w:color w:val="000000"/>
                <w:sz w:val="19"/>
              </w:rPr>
              <w:t xml:space="preserve">11000</w:t>
            </w:r>
          </w:p>
        </w:tc>
        <w:tc>
          <w:tcPr>
            <w:tcW w:w="1248" w:type="dxa"/>
            <w:shd w:val="clear" w:color="auto" w:fill="FFFFFF"/>
            <w:vAlign w:val="center"/>
          </w:tcPr>
          <w:p>
            <w:pPr>
              <w:pStyle w:val="TableText"/>
              <w:jc w:val="left"/>
            </w:pPr>
            <w:r>
              <w:rPr>
                <w:color w:val="000000"/>
                <w:sz w:val="19"/>
              </w:rPr>
              <w:t xml:space="preserve">matched</w:t>
            </w:r>
          </w:p>
        </w:tc>
      </w:tr>
      <w:tr>
        <w:trPr>
          <w:cantSplit/>
        </w:trPr>
        <w:tc>
          <w:tcPr>
            <w:tcW w:w="2120" w:type="dxa"/>
            <w:shd w:val="clear" w:color="auto" w:fill="F3F4F5"/>
            <w:vAlign w:val="center"/>
          </w:tcPr>
          <w:p>
            <w:pPr>
              <w:pStyle w:val="TableText"/>
              <w:jc w:val="left"/>
            </w:pPr>
            <w:r>
              <w:rPr>
                <w:color w:val="000000"/>
                <w:sz w:val="19"/>
              </w:rPr>
              <w:t xml:space="preserve">SYN-PAID-LINE-004 / OP-FBC</w:t>
            </w:r>
          </w:p>
        </w:tc>
        <w:tc>
          <w:tcPr>
            <w:tcW w:w="1375" w:type="dxa"/>
            <w:shd w:val="clear" w:color="auto" w:fill="F3F4F5"/>
            <w:vAlign w:val="center"/>
          </w:tcPr>
          <w:p>
            <w:pPr>
              <w:pStyle w:val="TableText"/>
              <w:jc w:val="left"/>
            </w:pPr>
            <w:r>
              <w:rPr>
                <w:color w:val="000000"/>
                <w:sz w:val="19"/>
              </w:rPr>
              <w:t xml:space="preserve">2025-05-21</w:t>
            </w:r>
          </w:p>
        </w:tc>
        <w:tc>
          <w:tcPr>
            <w:tcW w:w="1375" w:type="dxa"/>
            <w:shd w:val="clear" w:color="auto" w:fill="F3F4F5"/>
            <w:vAlign w:val="center"/>
          </w:tcPr>
          <w:p>
            <w:pPr>
              <w:pStyle w:val="TableText"/>
              <w:jc w:val="left"/>
            </w:pPr>
            <w:r>
              <w:rPr>
                <w:color w:val="000000"/>
                <w:sz w:val="19"/>
              </w:rPr>
              <w:t xml:space="preserve">2025-07-18</w:t>
            </w:r>
          </w:p>
        </w:tc>
        <w:tc>
          <w:tcPr>
            <w:tcW w:w="1246" w:type="dxa"/>
            <w:shd w:val="clear" w:color="auto" w:fill="F3F4F5"/>
            <w:vAlign w:val="center"/>
          </w:tcPr>
          <w:p>
            <w:pPr>
              <w:pStyle w:val="TableText"/>
              <w:jc w:val="right"/>
            </w:pPr>
            <w:r>
              <w:rPr>
                <w:color w:val="000000"/>
                <w:sz w:val="19"/>
              </w:rPr>
              <w:t xml:space="preserve">3</w:t>
            </w:r>
          </w:p>
        </w:tc>
        <w:tc>
          <w:tcPr>
            <w:tcW w:w="1246" w:type="dxa"/>
            <w:shd w:val="clear" w:color="auto" w:fill="F3F4F5"/>
            <w:vAlign w:val="center"/>
          </w:tcPr>
          <w:p>
            <w:pPr>
              <w:pStyle w:val="TableText"/>
              <w:jc w:val="right"/>
            </w:pPr>
            <w:r>
              <w:rPr>
                <w:color w:val="000000"/>
                <w:sz w:val="19"/>
              </w:rPr>
              <w:t xml:space="preserve">9900</w:t>
            </w:r>
          </w:p>
        </w:tc>
        <w:tc>
          <w:tcPr>
            <w:tcW w:w="1470" w:type="dxa"/>
            <w:shd w:val="clear" w:color="auto" w:fill="F3F4F5"/>
            <w:vAlign w:val="center"/>
          </w:tcPr>
          <w:p>
            <w:pPr>
              <w:pStyle w:val="TableText"/>
              <w:jc w:val="right"/>
            </w:pPr>
            <w:r>
              <w:rPr>
                <w:color w:val="000000"/>
                <w:sz w:val="19"/>
              </w:rPr>
              <w:t xml:space="preserve">9900</w:t>
            </w:r>
          </w:p>
        </w:tc>
        <w:tc>
          <w:tcPr>
            <w:tcW w:w="1248" w:type="dxa"/>
            <w:shd w:val="clear" w:color="auto" w:fill="F3F4F5"/>
            <w:vAlign w:val="center"/>
          </w:tcPr>
          <w:p>
            <w:pPr>
              <w:pStyle w:val="TableText"/>
              <w:jc w:val="left"/>
            </w:pPr>
            <w:r>
              <w:rPr>
                <w:color w:val="000000"/>
                <w:sz w:val="19"/>
              </w:rPr>
              <w:t xml:space="preserve">matched</w:t>
            </w:r>
          </w:p>
        </w:tc>
      </w:tr>
      <w:tr>
        <w:trPr>
          <w:cantSplit/>
        </w:trPr>
        <w:tc>
          <w:tcPr>
            <w:tcW w:w="2120" w:type="dxa"/>
            <w:shd w:val="clear" w:color="auto" w:fill="FFFFFF"/>
            <w:vAlign w:val="center"/>
          </w:tcPr>
          <w:p>
            <w:pPr>
              <w:pStyle w:val="TableText"/>
              <w:jc w:val="left"/>
            </w:pPr>
            <w:r>
              <w:rPr>
                <w:color w:val="000000"/>
                <w:sz w:val="19"/>
              </w:rPr>
              <w:t xml:space="preserve">SYN-PAID-LINE-005 / OP-DRESS</w:t>
            </w:r>
          </w:p>
        </w:tc>
        <w:tc>
          <w:tcPr>
            <w:tcW w:w="1375" w:type="dxa"/>
            <w:shd w:val="clear" w:color="auto" w:fill="FFFFFF"/>
            <w:vAlign w:val="center"/>
          </w:tcPr>
          <w:p>
            <w:pPr>
              <w:pStyle w:val="TableText"/>
              <w:jc w:val="left"/>
            </w:pPr>
            <w:r>
              <w:rPr>
                <w:color w:val="000000"/>
                <w:sz w:val="19"/>
              </w:rPr>
              <w:t xml:space="preserve">2025-06-09</w:t>
            </w:r>
          </w:p>
        </w:tc>
        <w:tc>
          <w:tcPr>
            <w:tcW w:w="1375" w:type="dxa"/>
            <w:shd w:val="clear" w:color="auto" w:fill="FFFFFF"/>
            <w:vAlign w:val="center"/>
          </w:tcPr>
          <w:p>
            <w:pPr>
              <w:pStyle w:val="TableText"/>
              <w:jc w:val="left"/>
            </w:pPr>
            <w:r>
              <w:rPr>
                <w:color w:val="000000"/>
                <w:sz w:val="19"/>
              </w:rPr>
              <w:t xml:space="preserve">2025-08-08</w:t>
            </w:r>
          </w:p>
        </w:tc>
        <w:tc>
          <w:tcPr>
            <w:tcW w:w="1246" w:type="dxa"/>
            <w:shd w:val="clear" w:color="auto" w:fill="FFFFFF"/>
            <w:vAlign w:val="center"/>
          </w:tcPr>
          <w:p>
            <w:pPr>
              <w:pStyle w:val="TableText"/>
              <w:jc w:val="right"/>
            </w:pPr>
            <w:r>
              <w:rPr>
                <w:color w:val="000000"/>
                <w:sz w:val="19"/>
              </w:rPr>
              <w:t xml:space="preserve">1</w:t>
            </w:r>
          </w:p>
        </w:tc>
        <w:tc>
          <w:tcPr>
            <w:tcW w:w="1246" w:type="dxa"/>
            <w:shd w:val="clear" w:color="auto" w:fill="FFFFFF"/>
            <w:vAlign w:val="center"/>
          </w:tcPr>
          <w:p>
            <w:pPr>
              <w:pStyle w:val="TableText"/>
              <w:jc w:val="right"/>
            </w:pPr>
            <w:r>
              <w:rPr>
                <w:color w:val="000000"/>
                <w:sz w:val="19"/>
              </w:rPr>
              <w:t xml:space="preserve">18000</w:t>
            </w:r>
          </w:p>
        </w:tc>
        <w:tc>
          <w:tcPr>
            <w:tcW w:w="1470" w:type="dxa"/>
            <w:shd w:val="clear" w:color="auto" w:fill="FFFFFF"/>
            <w:vAlign w:val="center"/>
          </w:tcPr>
          <w:p>
            <w:pPr>
              <w:pStyle w:val="TableText"/>
              <w:jc w:val="right"/>
            </w:pPr>
            <w:r>
              <w:rPr>
                <w:color w:val="000000"/>
                <w:sz w:val="19"/>
              </w:rPr>
              <w:t xml:space="preserve">Cannot calculate</w:t>
            </w:r>
          </w:p>
        </w:tc>
        <w:tc>
          <w:tcPr>
            <w:tcW w:w="1248" w:type="dxa"/>
            <w:shd w:val="clear" w:color="auto" w:fill="FFFFFF"/>
            <w:vAlign w:val="center"/>
          </w:tcPr>
          <w:p>
            <w:pPr>
              <w:pStyle w:val="TableText"/>
              <w:jc w:val="left"/>
            </w:pPr>
            <w:r>
              <w:rPr>
                <w:color w:val="000000"/>
                <w:sz w:val="19"/>
              </w:rPr>
              <w:t xml:space="preserve">held</w:t>
            </w:r>
          </w:p>
        </w:tc>
      </w:tr>
      <w:tr>
        <w:trPr>
          <w:cantSplit/>
        </w:trPr>
        <w:tc>
          <w:tcPr>
            <w:tcW w:w="2120" w:type="dxa"/>
            <w:shd w:val="clear" w:color="auto" w:fill="F3F4F5"/>
            <w:vAlign w:val="center"/>
          </w:tcPr>
          <w:p>
            <w:pPr>
              <w:pStyle w:val="TableText"/>
              <w:jc w:val="left"/>
            </w:pPr>
            <w:r>
              <w:rPr>
                <w:color w:val="000000"/>
                <w:sz w:val="19"/>
              </w:rPr>
              <w:t xml:space="preserve">SYN-PAID-LINE-006 / OP-CONS</w:t>
            </w:r>
          </w:p>
        </w:tc>
        <w:tc>
          <w:tcPr>
            <w:tcW w:w="1375" w:type="dxa"/>
            <w:shd w:val="clear" w:color="auto" w:fill="F3F4F5"/>
            <w:vAlign w:val="center"/>
          </w:tcPr>
          <w:p>
            <w:pPr>
              <w:pStyle w:val="TableText"/>
              <w:jc w:val="left"/>
            </w:pPr>
            <w:r>
              <w:rPr>
                <w:color w:val="000000"/>
                <w:sz w:val="19"/>
              </w:rPr>
              <w:t xml:space="preserve">2025-06-23</w:t>
            </w:r>
          </w:p>
        </w:tc>
        <w:tc>
          <w:tcPr>
            <w:tcW w:w="1375" w:type="dxa"/>
            <w:shd w:val="clear" w:color="auto" w:fill="F3F4F5"/>
            <w:vAlign w:val="center"/>
          </w:tcPr>
          <w:p>
            <w:pPr>
              <w:pStyle w:val="TableText"/>
              <w:jc w:val="left"/>
            </w:pPr>
            <w:r>
              <w:rPr>
                <w:color w:val="000000"/>
                <w:sz w:val="19"/>
              </w:rPr>
              <w:t xml:space="preserve">2025-08-22</w:t>
            </w:r>
          </w:p>
        </w:tc>
        <w:tc>
          <w:tcPr>
            <w:tcW w:w="1246" w:type="dxa"/>
            <w:shd w:val="clear" w:color="auto" w:fill="F3F4F5"/>
            <w:vAlign w:val="center"/>
          </w:tcPr>
          <w:p>
            <w:pPr>
              <w:pStyle w:val="TableText"/>
              <w:jc w:val="right"/>
            </w:pPr>
            <w:r>
              <w:rPr>
                <w:color w:val="000000"/>
                <w:sz w:val="19"/>
              </w:rPr>
              <w:t xml:space="preserve">Missing</w:t>
            </w:r>
          </w:p>
        </w:tc>
        <w:tc>
          <w:tcPr>
            <w:tcW w:w="1246" w:type="dxa"/>
            <w:shd w:val="clear" w:color="auto" w:fill="F3F4F5"/>
            <w:vAlign w:val="center"/>
          </w:tcPr>
          <w:p>
            <w:pPr>
              <w:pStyle w:val="TableText"/>
              <w:jc w:val="right"/>
            </w:pPr>
            <w:r>
              <w:rPr>
                <w:color w:val="000000"/>
                <w:sz w:val="19"/>
              </w:rPr>
              <w:t xml:space="preserve">11000</w:t>
            </w:r>
          </w:p>
        </w:tc>
        <w:tc>
          <w:tcPr>
            <w:tcW w:w="1470" w:type="dxa"/>
            <w:shd w:val="clear" w:color="auto" w:fill="F3F4F5"/>
            <w:vAlign w:val="center"/>
          </w:tcPr>
          <w:p>
            <w:pPr>
              <w:pStyle w:val="TableText"/>
              <w:jc w:val="right"/>
            </w:pPr>
            <w:r>
              <w:rPr>
                <w:color w:val="000000"/>
                <w:sz w:val="19"/>
              </w:rPr>
              <w:t xml:space="preserve">Cannot calculate</w:t>
            </w:r>
          </w:p>
        </w:tc>
        <w:tc>
          <w:tcPr>
            <w:tcW w:w="1248" w:type="dxa"/>
            <w:shd w:val="clear" w:color="auto" w:fill="F3F4F5"/>
            <w:vAlign w:val="center"/>
          </w:tcPr>
          <w:p>
            <w:pPr>
              <w:pStyle w:val="TableText"/>
              <w:jc w:val="left"/>
            </w:pPr>
            <w:r>
              <w:rPr>
                <w:color w:val="000000"/>
                <w:sz w:val="19"/>
              </w:rPr>
              <w:t xml:space="preserve">held</w:t>
            </w:r>
          </w:p>
        </w:tc>
      </w:tr>
    </w:tbl>
    <w:p>
      <w:pPr>
        <w:pStyle w:val="AfterTable"/>
      </w:pPr>
      <w:r>
        <w:t xml:space="preserve"/>
      </w:r>
    </w:p>
    <w:tbl>
      <w:tblPr>
        <w:tblW w:w="10080" w:type="dxa"/>
        <w:tblBorders>
          <w:top w:val="single" w:sz="4" w:color="D9D9D9"/>
          <w:left w:val="single" w:sz="4" w:color="D9D9D9"/>
          <w:bottom w:val="single" w:sz="4" w:color="D9D9D9"/>
          <w:right w:val="single" w:sz="4" w:color="D9D9D9"/>
          <w:insideH w:val="single" w:sz="4" w:color="D9D9D9"/>
          <w:insideV w:val="single" w:sz="4" w:color="D9D9D9"/>
        </w:tblBorders>
        <w:tblLayout w:type="fixed"/>
        <w:tblCellMar>
          <w:top w:w="90" w:type="dxa"/>
          <w:left w:w="100" w:type="dxa"/>
          <w:bottom w:w="90" w:type="dxa"/>
          <w:right w:w="100" w:type="dxa"/>
        </w:tblCellMar>
      </w:tblPr>
      <w:tblGrid>
        <w:gridCol w:w="3430"/>
        <w:gridCol w:w="2281"/>
        <w:gridCol w:w="2167"/>
        <w:gridCol w:w="2202"/>
      </w:tblGrid>
      <w:tr>
        <w:trPr>
          <w:tblHeader/>
          <w:cantSplit/>
        </w:trPr>
        <w:tc>
          <w:tcPr>
            <w:tcW w:w="3430" w:type="dxa"/>
            <w:shd w:val="clear" w:color="auto" w:fill="404040"/>
            <w:vAlign w:val="center"/>
          </w:tcPr>
          <w:p>
            <w:pPr>
              <w:pStyle w:val="TableText"/>
              <w:jc w:val="left"/>
              <w:keepNext/>
            </w:pPr>
            <w:r>
              <w:rPr>
                <w:color w:val="FFFFFF"/>
                <w:sz w:val="21"/>
                <w:b/>
              </w:rPr>
              <w:t xml:space="preserve">Paired item</w:t>
            </w:r>
          </w:p>
        </w:tc>
        <w:tc>
          <w:tcPr>
            <w:tcW w:w="2281" w:type="dxa"/>
            <w:shd w:val="clear" w:color="auto" w:fill="404040"/>
            <w:vAlign w:val="center"/>
          </w:tcPr>
          <w:p>
            <w:pPr>
              <w:pStyle w:val="TableText"/>
              <w:jc w:val="right"/>
              <w:keepNext/>
            </w:pPr>
            <w:r>
              <w:rPr>
                <w:color w:val="FFFFFF"/>
                <w:sz w:val="21"/>
                <w:b/>
              </w:rPr>
              <w:t xml:space="preserve">Earlier unit paid NGN</w:t>
            </w:r>
          </w:p>
        </w:tc>
        <w:tc>
          <w:tcPr>
            <w:tcW w:w="2167" w:type="dxa"/>
            <w:shd w:val="clear" w:color="auto" w:fill="404040"/>
            <w:vAlign w:val="center"/>
          </w:tcPr>
          <w:p>
            <w:pPr>
              <w:pStyle w:val="TableText"/>
              <w:jc w:val="right"/>
              <w:keepNext/>
            </w:pPr>
            <w:r>
              <w:rPr>
                <w:color w:val="FFFFFF"/>
                <w:sz w:val="21"/>
                <w:b/>
              </w:rPr>
              <w:t xml:space="preserve">Later unit paid NGN</w:t>
            </w:r>
          </w:p>
        </w:tc>
        <w:tc>
          <w:tcPr>
            <w:tcW w:w="2202" w:type="dxa"/>
            <w:shd w:val="clear" w:color="auto" w:fill="404040"/>
            <w:vAlign w:val="center"/>
          </w:tcPr>
          <w:p>
            <w:pPr>
              <w:pStyle w:val="TableText"/>
              <w:jc w:val="right"/>
              <w:keepNext/>
            </w:pPr>
            <w:r>
              <w:rPr>
                <w:color w:val="FFFFFF"/>
                <w:sz w:val="21"/>
                <w:b/>
              </w:rPr>
              <w:t xml:space="preserve">Observed difference</w:t>
            </w:r>
          </w:p>
        </w:tc>
      </w:tr>
      <w:tr>
        <w:trPr>
          <w:cantSplit/>
        </w:trPr>
        <w:tc>
          <w:tcPr>
            <w:tcW w:w="3430" w:type="dxa"/>
            <w:shd w:val="clear" w:color="auto" w:fill="FFFFFF"/>
            <w:vAlign w:val="center"/>
          </w:tcPr>
          <w:p>
            <w:pPr>
              <w:pStyle w:val="TableText"/>
              <w:jc w:val="left"/>
            </w:pPr>
            <w:r>
              <w:rPr>
                <w:color w:val="000000"/>
                <w:sz w:val="21"/>
              </w:rPr>
              <w:t xml:space="preserve">OP-CONS / Outpatient consultation</w:t>
            </w:r>
          </w:p>
        </w:tc>
        <w:tc>
          <w:tcPr>
            <w:tcW w:w="2281" w:type="dxa"/>
            <w:shd w:val="clear" w:color="auto" w:fill="FFFFFF"/>
            <w:vAlign w:val="center"/>
          </w:tcPr>
          <w:p>
            <w:pPr>
              <w:pStyle w:val="TableText"/>
              <w:jc w:val="right"/>
            </w:pPr>
            <w:r>
              <w:rPr>
                <w:color w:val="000000"/>
                <w:sz w:val="21"/>
              </w:rPr>
              <w:t xml:space="preserve">5000</w:t>
            </w:r>
          </w:p>
        </w:tc>
        <w:tc>
          <w:tcPr>
            <w:tcW w:w="2167" w:type="dxa"/>
            <w:shd w:val="clear" w:color="auto" w:fill="FFFFFF"/>
            <w:vAlign w:val="center"/>
          </w:tcPr>
          <w:p>
            <w:pPr>
              <w:pStyle w:val="TableText"/>
              <w:jc w:val="right"/>
            </w:pPr>
            <w:r>
              <w:rPr>
                <w:color w:val="000000"/>
                <w:sz w:val="21"/>
              </w:rPr>
              <w:t xml:space="preserve">5500</w:t>
            </w:r>
          </w:p>
        </w:tc>
        <w:tc>
          <w:tcPr>
            <w:tcW w:w="2202" w:type="dxa"/>
            <w:shd w:val="clear" w:color="auto" w:fill="FFFFFF"/>
            <w:vAlign w:val="center"/>
          </w:tcPr>
          <w:p>
            <w:pPr>
              <w:pStyle w:val="TableText"/>
              <w:jc w:val="right"/>
            </w:pPr>
            <w:r>
              <w:rPr>
                <w:color w:val="000000"/>
                <w:sz w:val="21"/>
              </w:rPr>
              <w:t xml:space="preserve">10.0%</w:t>
            </w:r>
          </w:p>
        </w:tc>
      </w:tr>
      <w:tr>
        <w:trPr>
          <w:cantSplit/>
        </w:trPr>
        <w:tc>
          <w:tcPr>
            <w:tcW w:w="3430" w:type="dxa"/>
            <w:shd w:val="clear" w:color="auto" w:fill="F3F4F5"/>
            <w:vAlign w:val="center"/>
          </w:tcPr>
          <w:p>
            <w:pPr>
              <w:pStyle w:val="TableText"/>
              <w:jc w:val="left"/>
            </w:pPr>
            <w:r>
              <w:rPr>
                <w:color w:val="000000"/>
                <w:sz w:val="21"/>
              </w:rPr>
              <w:t xml:space="preserve">OP-FBC / Full blood count</w:t>
            </w:r>
          </w:p>
        </w:tc>
        <w:tc>
          <w:tcPr>
            <w:tcW w:w="2281" w:type="dxa"/>
            <w:shd w:val="clear" w:color="auto" w:fill="F3F4F5"/>
            <w:vAlign w:val="center"/>
          </w:tcPr>
          <w:p>
            <w:pPr>
              <w:pStyle w:val="TableText"/>
              <w:jc w:val="right"/>
            </w:pPr>
            <w:r>
              <w:rPr>
                <w:color w:val="000000"/>
                <w:sz w:val="21"/>
              </w:rPr>
              <w:t xml:space="preserve">3000</w:t>
            </w:r>
          </w:p>
        </w:tc>
        <w:tc>
          <w:tcPr>
            <w:tcW w:w="2167" w:type="dxa"/>
            <w:shd w:val="clear" w:color="auto" w:fill="F3F4F5"/>
            <w:vAlign w:val="center"/>
          </w:tcPr>
          <w:p>
            <w:pPr>
              <w:pStyle w:val="TableText"/>
              <w:jc w:val="right"/>
            </w:pPr>
            <w:r>
              <w:rPr>
                <w:color w:val="000000"/>
                <w:sz w:val="21"/>
              </w:rPr>
              <w:t xml:space="preserve">3300</w:t>
            </w:r>
          </w:p>
        </w:tc>
        <w:tc>
          <w:tcPr>
            <w:tcW w:w="2202" w:type="dxa"/>
            <w:shd w:val="clear" w:color="auto" w:fill="F3F4F5"/>
            <w:vAlign w:val="center"/>
          </w:tcPr>
          <w:p>
            <w:pPr>
              <w:pStyle w:val="TableText"/>
              <w:jc w:val="right"/>
            </w:pPr>
            <w:r>
              <w:rPr>
                <w:color w:val="000000"/>
                <w:sz w:val="21"/>
              </w:rPr>
              <w:t xml:space="preserve">10.0%</w:t>
            </w:r>
          </w:p>
        </w:tc>
      </w:tr>
    </w:tbl>
    <w:p>
      <w:pPr>
        <w:pStyle w:val="AfterTable"/>
      </w:pPr>
      <w:r>
        <w:t xml:space="preserve"/>
      </w:r>
    </w:p>
    <w:p>
      <w:pPr>
        <w:pStyle w:val="Normal"/>
      </w:pPr>
      <w:r>
        <w:t xml:space="preserve">Checks and held-record requests:</w:t>
      </w:r>
    </w:p>
    <w:p>
      <w:pPr>
        <w:pStyle w:val="ListParagraph"/>
        <w:numPr>
          <w:ilvl w:val="0"/>
          <w:numId w:val="2"/>
        </w:numPr>
      </w:pPr>
      <w:r>
        <w:t xml:space="preserve">SYN-PAID-LINE-001: matched. Service, plan, provider, dates and quantity × applicable tariff match the paid amount.</w:t>
      </w:r>
    </w:p>
    <w:p>
      <w:pPr>
        <w:pStyle w:val="ListParagraph"/>
        <w:numPr>
          <w:ilvl w:val="0"/>
          <w:numId w:val="2"/>
        </w:numPr>
      </w:pPr>
      <w:r>
        <w:t xml:space="preserve">SYN-PAID-LINE-002: matched. Service, plan, provider, dates and quantity × applicable tariff match the paid amount.</w:t>
      </w:r>
    </w:p>
    <w:p>
      <w:pPr>
        <w:pStyle w:val="ListParagraph"/>
        <w:numPr>
          <w:ilvl w:val="0"/>
          <w:numId w:val="2"/>
        </w:numPr>
      </w:pPr>
      <w:r>
        <w:t xml:space="preserve">SYN-PAID-LINE-003: matched. Service, plan, provider, dates and quantity × applicable tariff match the paid amount.</w:t>
      </w:r>
    </w:p>
    <w:p>
      <w:pPr>
        <w:pStyle w:val="ListParagraph"/>
        <w:numPr>
          <w:ilvl w:val="0"/>
          <w:numId w:val="2"/>
        </w:numPr>
      </w:pPr>
      <w:r>
        <w:t xml:space="preserve">SYN-PAID-LINE-004: matched. Service, plan, provider, dates and quantity × applicable tariff match the paid amount.</w:t>
      </w:r>
    </w:p>
    <w:p>
      <w:pPr>
        <w:pStyle w:val="ListParagraph"/>
        <w:numPr>
          <w:ilvl w:val="0"/>
          <w:numId w:val="2"/>
        </w:numPr>
      </w:pPr>
      <w:r>
        <w:t xml:space="preserve">SYN-PAID-LINE-005: held. No applicable tariff item was supplied for OP-DRESS.</w:t>
      </w:r>
    </w:p>
    <w:p>
      <w:pPr>
        <w:pStyle w:val="ListParagraph"/>
        <w:numPr>
          <w:ilvl w:val="0"/>
          <w:numId w:val="2"/>
        </w:numPr>
      </w:pPr>
      <w:r>
        <w:t xml:space="preserve">SYN-PAID-LINE-006: held. Paid quantity is missing or invalid; paid amount alone cannot establish a unit amount.</w:t>
      </w:r>
    </w:p>
    <w:p>
      <w:pPr>
        <w:pStyle w:val="Normal"/>
      </w:pPr>
      <w:r>
        <w:t xml:space="preserve">Next task — Claims review analyst: supply the applicable OP-DRESS tariff item for line SYN-PAID-LINE-005 and the missing quantity for line SYN-PAID-LINE-006. Supply the complete matched extract for the selected service to examine broader movement.</w:t>
      </w:r>
    </w:p>
    <w:p>
      <w:pPr>
        <w:pStyle w:val="Normal"/>
      </w:pPr>
      <w:r>
        <w:t xml:space="preserve">Paired unit amounts are 10% higher only for the two checked sample items. This does not measure a whole-service tariff contribution. A complete matched extract with quantities, payment timing and item mix is still needed. These six lines are a subset of existing amounts and add nothing to financial totals.</w:t>
      </w:r>
    </w:p>
    <w:p>
      <w:pPr>
        <w:pStyle w:val="Normal"/>
      </w:pPr>
      <w:r>
        <w:t xml:space="preserve">Local simulation only: no message sent, task assigned or external response received.</w:t>
      </w:r>
    </w:p>
    <w:p>
      <w:pPr>
        <w:pStyle w:val="Heading1"/>
      </w:pPr>
      <w:r>
        <w:t xml:space="preserve">Mapping and reuse configuration</w:t>
      </w:r>
    </w:p>
    <w:p>
      <w:pPr>
        <w:pStyle w:val="Normal"/>
      </w:pPr>
      <w:r>
        <w:t xml:space="preserve">Deterministic illustration using fictional source dictionaries. It does not change MAP-PRIVATE-2025-01 or any financial result in the management account. No live AI inference or client onboarding is represented.</w:t>
      </w:r>
    </w:p>
    <w:tbl>
      <w:tblPr>
        <w:tblW w:w="10080" w:type="dxa"/>
        <w:tblBorders>
          <w:top w:val="single" w:sz="4" w:color="D9D9D9"/>
          <w:left w:val="single" w:sz="4" w:color="D9D9D9"/>
          <w:bottom w:val="single" w:sz="4" w:color="D9D9D9"/>
          <w:right w:val="single" w:sz="4" w:color="D9D9D9"/>
          <w:insideH w:val="single" w:sz="4" w:color="D9D9D9"/>
          <w:insideV w:val="single" w:sz="4" w:color="D9D9D9"/>
        </w:tblBorders>
        <w:tblLayout w:type="fixed"/>
        <w:tblCellMar>
          <w:top w:w="90" w:type="dxa"/>
          <w:left w:w="100" w:type="dxa"/>
          <w:bottom w:w="90" w:type="dxa"/>
          <w:right w:w="100" w:type="dxa"/>
        </w:tblCellMar>
      </w:tblPr>
      <w:tblGrid>
        <w:gridCol w:w="4800"/>
        <w:gridCol w:w="5280"/>
      </w:tblGrid>
      <w:tr>
        <w:trPr>
          <w:tblHeader/>
          <w:cantSplit/>
        </w:trPr>
        <w:tc>
          <w:tcPr>
            <w:tcW w:w="4800" w:type="dxa"/>
            <w:shd w:val="clear" w:color="auto" w:fill="404040"/>
            <w:vAlign w:val="center"/>
          </w:tcPr>
          <w:p>
            <w:pPr>
              <w:pStyle w:val="TableText"/>
              <w:jc w:val="left"/>
              <w:keepNext/>
            </w:pPr>
            <w:r>
              <w:rPr>
                <w:color w:val="FFFFFF"/>
                <w:sz w:val="21"/>
                <w:b/>
              </w:rPr>
              <w:t xml:space="preserve">Example</w:t>
            </w:r>
          </w:p>
        </w:tc>
        <w:tc>
          <w:tcPr>
            <w:tcW w:w="5280" w:type="dxa"/>
            <w:shd w:val="clear" w:color="auto" w:fill="404040"/>
            <w:vAlign w:val="center"/>
          </w:tcPr>
          <w:p>
            <w:pPr>
              <w:pStyle w:val="TableText"/>
              <w:jc w:val="left"/>
              <w:keepNext/>
            </w:pPr>
            <w:r>
              <w:rPr>
                <w:color w:val="FFFFFF"/>
                <w:sz w:val="21"/>
                <w:b/>
              </w:rPr>
              <w:t xml:space="preserve">Status</w:t>
            </w:r>
          </w:p>
        </w:tc>
      </w:tr>
      <w:tr>
        <w:trPr>
          <w:cantSplit/>
        </w:trPr>
        <w:tc>
          <w:tcPr>
            <w:tcW w:w="4800" w:type="dxa"/>
            <w:shd w:val="clear" w:color="auto" w:fill="FFFFFF"/>
            <w:vAlign w:val="center"/>
          </w:tcPr>
          <w:p>
            <w:pPr>
              <w:pStyle w:val="TableText"/>
              <w:jc w:val="left"/>
            </w:pPr>
            <w:r>
              <w:rPr>
                <w:color w:val="000000"/>
                <w:sz w:val="21"/>
              </w:rPr>
              <w:t xml:space="preserve">Source dictionary DICT-A-01</w:t>
            </w:r>
          </w:p>
        </w:tc>
        <w:tc>
          <w:tcPr>
            <w:tcW w:w="5280" w:type="dxa"/>
            <w:shd w:val="clear" w:color="auto" w:fill="FFFFFF"/>
            <w:vAlign w:val="center"/>
          </w:tcPr>
          <w:p>
            <w:pPr>
              <w:pStyle w:val="TableText"/>
              <w:jc w:val="left"/>
            </w:pPr>
            <w:r>
              <w:rPr>
                <w:color w:val="000000"/>
                <w:sz w:val="21"/>
              </w:rPr>
              <w:t xml:space="preserve">Not opened</w:t>
            </w:r>
          </w:p>
        </w:tc>
      </w:tr>
      <w:tr>
        <w:trPr>
          <w:cantSplit/>
        </w:trPr>
        <w:tc>
          <w:tcPr>
            <w:tcW w:w="4800" w:type="dxa"/>
            <w:shd w:val="clear" w:color="auto" w:fill="F3F4F5"/>
            <w:vAlign w:val="center"/>
          </w:tcPr>
          <w:p>
            <w:pPr>
              <w:pStyle w:val="TableText"/>
              <w:jc w:val="left"/>
            </w:pPr>
            <w:r>
              <w:rPr>
                <w:color w:val="000000"/>
                <w:sz w:val="21"/>
              </w:rPr>
              <w:t xml:space="preserve">Ambiguous amount field</w:t>
            </w:r>
          </w:p>
        </w:tc>
        <w:tc>
          <w:tcPr>
            <w:tcW w:w="5280" w:type="dxa"/>
            <w:shd w:val="clear" w:color="auto" w:fill="F3F4F5"/>
            <w:vAlign w:val="center"/>
          </w:tcPr>
          <w:p>
            <w:pPr>
              <w:pStyle w:val="TableText"/>
              <w:jc w:val="left"/>
            </w:pPr>
            <w:r>
              <w:rPr>
                <w:color w:val="000000"/>
                <w:sz w:val="21"/>
              </w:rPr>
              <w:t xml:space="preserve">Unresolved: billed, approved or paid is not established</w:t>
            </w:r>
          </w:p>
        </w:tc>
      </w:tr>
      <w:tr>
        <w:trPr>
          <w:cantSplit/>
        </w:trPr>
        <w:tc>
          <w:tcPr>
            <w:tcW w:w="4800" w:type="dxa"/>
            <w:shd w:val="clear" w:color="auto" w:fill="FFFFFF"/>
            <w:vAlign w:val="center"/>
          </w:tcPr>
          <w:p>
            <w:pPr>
              <w:pStyle w:val="TableText"/>
              <w:jc w:val="left"/>
            </w:pPr>
            <w:r>
              <w:rPr>
                <w:color w:val="000000"/>
                <w:sz w:val="21"/>
              </w:rPr>
              <w:t xml:space="preserve">SYN-REUSE-PRIVATE-01</w:t>
            </w:r>
          </w:p>
        </w:tc>
        <w:tc>
          <w:tcPr>
            <w:tcW w:w="5280" w:type="dxa"/>
            <w:shd w:val="clear" w:color="auto" w:fill="FFFFFF"/>
            <w:vAlign w:val="center"/>
          </w:tcPr>
          <w:p>
            <w:pPr>
              <w:pStyle w:val="TableText"/>
              <w:jc w:val="left"/>
            </w:pPr>
            <w:r>
              <w:rPr>
                <w:color w:val="000000"/>
                <w:sz w:val="21"/>
              </w:rPr>
              <w:t xml:space="preserve">Not accepted</w:t>
            </w:r>
          </w:p>
        </w:tc>
      </w:tr>
      <w:tr>
        <w:trPr>
          <w:cantSplit/>
        </w:trPr>
        <w:tc>
          <w:tcPr>
            <w:tcW w:w="4800" w:type="dxa"/>
            <w:shd w:val="clear" w:color="auto" w:fill="F3F4F5"/>
            <w:vAlign w:val="center"/>
          </w:tcPr>
          <w:p>
            <w:pPr>
              <w:pStyle w:val="TableText"/>
              <w:jc w:val="left"/>
            </w:pPr>
            <w:r>
              <w:rPr>
                <w:color w:val="000000"/>
                <w:sz w:val="21"/>
              </w:rPr>
              <w:t xml:space="preserve">Extract A2, claim</w:t>
            </w:r>
            <w:r>
              <w:rPr>
                <w:color w:val="000000"/>
                <w:sz w:val="21"/>
              </w:rPr>
              <w:t xml:space="preserve">_paid_</w:t>
            </w:r>
            <w:r>
              <w:rPr>
                <w:color w:val="000000"/>
                <w:sz w:val="21"/>
              </w:rPr>
              <w:t xml:space="preserve">ngn</w:t>
            </w:r>
          </w:p>
        </w:tc>
        <w:tc>
          <w:tcPr>
            <w:tcW w:w="5280" w:type="dxa"/>
            <w:shd w:val="clear" w:color="auto" w:fill="F3F4F5"/>
            <w:vAlign w:val="center"/>
          </w:tcPr>
          <w:p>
            <w:pPr>
              <w:pStyle w:val="TableText"/>
              <w:jc w:val="left"/>
            </w:pPr>
            <w:r>
              <w:rPr>
                <w:color w:val="000000"/>
                <w:sz w:val="21"/>
              </w:rPr>
              <w:t xml:space="preserve">Not checked</w:t>
            </w:r>
          </w:p>
        </w:tc>
      </w:tr>
      <w:tr>
        <w:trPr>
          <w:cantSplit/>
        </w:trPr>
        <w:tc>
          <w:tcPr>
            <w:tcW w:w="4800" w:type="dxa"/>
            <w:shd w:val="clear" w:color="auto" w:fill="FFFFFF"/>
            <w:vAlign w:val="center"/>
          </w:tcPr>
          <w:p>
            <w:pPr>
              <w:pStyle w:val="TableText"/>
              <w:jc w:val="left"/>
            </w:pPr>
            <w:r>
              <w:rPr>
                <w:color w:val="000000"/>
                <w:sz w:val="21"/>
              </w:rPr>
              <w:t xml:space="preserve">Conflicting paid</w:t>
            </w:r>
            <w:r>
              <w:rPr>
                <w:color w:val="000000"/>
                <w:sz w:val="21"/>
              </w:rPr>
              <w:t xml:space="preserve">_amount_</w:t>
            </w:r>
            <w:r>
              <w:rPr>
                <w:color w:val="000000"/>
                <w:sz w:val="21"/>
              </w:rPr>
              <w:t xml:space="preserve">ngn count field</w:t>
            </w:r>
          </w:p>
        </w:tc>
        <w:tc>
          <w:tcPr>
            <w:tcW w:w="5280" w:type="dxa"/>
            <w:shd w:val="clear" w:color="auto" w:fill="FFFFFF"/>
            <w:vAlign w:val="center"/>
          </w:tcPr>
          <w:p>
            <w:pPr>
              <w:pStyle w:val="TableText"/>
              <w:jc w:val="left"/>
            </w:pPr>
            <w:r>
              <w:rPr>
                <w:color w:val="000000"/>
                <w:sz w:val="21"/>
              </w:rPr>
              <w:t xml:space="preserve">Not checked</w:t>
            </w:r>
          </w:p>
        </w:tc>
      </w:tr>
      <w:tr>
        <w:trPr>
          <w:cantSplit/>
        </w:trPr>
        <w:tc>
          <w:tcPr>
            <w:tcW w:w="4800" w:type="dxa"/>
            <w:shd w:val="clear" w:color="auto" w:fill="F3F4F5"/>
            <w:vAlign w:val="center"/>
          </w:tcPr>
          <w:p>
            <w:pPr>
              <w:pStyle w:val="TableText"/>
              <w:jc w:val="left"/>
            </w:pPr>
            <w:r>
              <w:rPr>
                <w:color w:val="000000"/>
                <w:sz w:val="21"/>
              </w:rPr>
              <w:t xml:space="preserve">Cedarbrook dictionary DICT-C-01</w:t>
            </w:r>
          </w:p>
        </w:tc>
        <w:tc>
          <w:tcPr>
            <w:tcW w:w="5280" w:type="dxa"/>
            <w:shd w:val="clear" w:color="auto" w:fill="F3F4F5"/>
            <w:vAlign w:val="center"/>
          </w:tcPr>
          <w:p>
            <w:pPr>
              <w:pStyle w:val="TableText"/>
              <w:jc w:val="left"/>
            </w:pPr>
            <w:r>
              <w:rPr>
                <w:color w:val="000000"/>
                <w:sz w:val="21"/>
              </w:rPr>
              <w:t xml:space="preserve">Not opened</w:t>
            </w:r>
          </w:p>
        </w:tc>
      </w:tr>
      <w:tr>
        <w:trPr>
          <w:cantSplit/>
        </w:trPr>
        <w:tc>
          <w:tcPr>
            <w:tcW w:w="4800" w:type="dxa"/>
            <w:shd w:val="clear" w:color="auto" w:fill="FFFFFF"/>
            <w:vAlign w:val="center"/>
          </w:tcPr>
          <w:p>
            <w:pPr>
              <w:pStyle w:val="TableText"/>
              <w:jc w:val="left"/>
            </w:pPr>
            <w:r>
              <w:rPr>
                <w:color w:val="000000"/>
                <w:sz w:val="21"/>
              </w:rPr>
              <w:t xml:space="preserve">SYN-REUSE-CEDARBROOK-01</w:t>
            </w:r>
          </w:p>
        </w:tc>
        <w:tc>
          <w:tcPr>
            <w:tcW w:w="5280" w:type="dxa"/>
            <w:shd w:val="clear" w:color="auto" w:fill="FFFFFF"/>
            <w:vAlign w:val="center"/>
          </w:tcPr>
          <w:p>
            <w:pPr>
              <w:pStyle w:val="TableText"/>
              <w:jc w:val="left"/>
            </w:pPr>
            <w:r>
              <w:rPr>
                <w:color w:val="000000"/>
                <w:sz w:val="21"/>
              </w:rPr>
              <w:t xml:space="preserve">Not accepted</w:t>
            </w:r>
          </w:p>
        </w:tc>
      </w:tr>
    </w:tbl>
    <w:p>
      <w:pPr>
        <w:pStyle w:val="AfterTable"/>
      </w:pPr>
      <w:r>
        <w:t xml:space="preserve"/>
      </w:r>
    </w:p>
    <w:p>
      <w:pPr>
        <w:pStyle w:val="Normal"/>
      </w:pPr>
      <w:r>
        <w:t xml:space="preserve">Defined measure: paid fee-for-service claim amount in NGN per covered member-month, including members who did not claim. Group by health plan and service quarter; payment date is distinct. Example records cutoff: 31 August 2025. The two service quarters have different time to develop by that common cutoff.</w:t>
      </w:r>
    </w:p>
    <w:p>
      <w:pPr>
        <w:pStyle w:val="Normal"/>
      </w:pPr>
      <w:r>
        <w:t xml:space="preserve">Accepted source example, when confirmed: paid</w:t>
      </w:r>
      <w:r>
        <w:t xml:space="preserve">_amount_</w:t>
      </w:r>
      <w:r>
        <w:t xml:space="preserve">ngn → paid claim amount; claim</w:t>
      </w:r>
      <w:r>
        <w:t xml:space="preserve">_paid_</w:t>
      </w:r>
      <w:r>
        <w:t xml:space="preserve">ngn is its documented alias; covered</w:t>
      </w:r>
      <w:r>
        <w:t xml:space="preserve">_member_</w:t>
      </w:r>
      <w:r>
        <w:t xml:space="preserve">months → covered member-months; health</w:t>
      </w:r>
      <w:r>
        <w:t xml:space="preserve">_plan → health plan; service_</w:t>
      </w:r>
      <w:r>
        <w:t xml:space="preserve">quarter → service quarter; records_cutoff → source cutoff. The undefined amount column is excluded.</w:t>
      </w:r>
    </w:p>
    <w:p>
      <w:pPr>
        <w:pStyle w:val="Normal"/>
      </w:pPr>
      <w:r>
        <w:t xml:space="preserve">Cedarbrook example, when separately confirmed: settled</w:t>
      </w:r>
      <w:r>
        <w:t xml:space="preserve">_claim_</w:t>
      </w:r>
      <w:r>
        <w:t xml:space="preserve">amount</w:t>
      </w:r>
      <w:r>
        <w:t xml:space="preserve">_ngn → paid fee-for-service claim amount; beneficiary_</w:t>
      </w:r>
      <w:r>
        <w:t xml:space="preserve">months → covered member-months; product_name → health plan. Its source definitions are established independently, with no transfer of client data or totals.</w:t>
      </w:r>
    </w:p>
    <w:p>
      <w:pPr>
        <w:pStyle w:val="Normal"/>
      </w:pPr>
      <w:r>
        <w:t xml:space="preserve">Reusable question: How did [paid claims amount] per [covered member-month] change across [health plans]? Source labels can differ; measure meaning, unit, denominator, service period, source scope and cutoff must be established. A new cutoff requires a new completeness/comparability review.</w:t>
      </w:r>
    </w:p>
    <w:p>
      <w:pPr>
        <w:pStyle w:val="Normal"/>
      </w:pPr>
      <w:r>
        <w:t xml:space="preserve">Cross-domain reuse retains the analytical question structure. It requires new definitions for the financial measure, exposure unit, operational grouping, timing, source quality and interpretation. An HMO claim amount or member-month is not automatically a pharmacy measure or denominator.</w:t>
      </w:r>
    </w:p>
    <w:sectPr>
      <w:footerReference w:type="default" r:id="rId3"/>
      <w:pgSz w:w="12240" w:h="15840"/>
      <w:pgMar w:top="1080" w:right="1080" w:bottom="1080" w:left="1080" w:header="360" w:footer="480" w:gutter="0"/>
      <w:cols w:space="720"/>
    </w:sectPr>
  </w:body>
</w:document>
</file>

<file path=word/footer1.xml><?xml version="1.0" encoding="utf-8"?>
<w:ftr xmlns:w="http://schemas.openxmlformats.org/wordprocessingml/2006/main">
  <w:p>
    <w:pPr>
      <w:jc w:val="right"/>
      <w:spacing w:before="0" w:after="0"/>
    </w:pPr>
    <w:r>
      <w:rPr>
        <w:color w:val="555555"/>
        <w:sz w:val="18"/>
      </w:rPr>
      <w:t xml:space="preserve">Page </w:t>
    </w:r>
    <w:fldSimple w:instr=" PAGE ">
      <w:r>
        <w:rPr>
          <w:color w:val="555555"/>
          <w:sz w:val="18"/>
        </w:rPr>
        <w:t xml:space="preserve">1</w:t>
      </w:r>
    </w:fldSimple>
  </w:p>
</w:ftr>
</file>

<file path=word/numbering.xml><?xml version="1.0" encoding="utf-8"?>
<w:numbering xmlns:w="http://schemas.openxmlformats.org/wordprocessingml/2006/main">
  <w:abstractNum w:abstractNumId="0">
    <w:multiLevelType w:val="multilevel"/>
    <w:lvl w:ilvl="0">
      <w:start w:val="1"/>
      <w:numFmt w:val="bullet"/>
      <w:lvlText w:val="•"/>
      <w:lvlJc w:val="left"/>
      <w:pPr>
        <w:tabs>
          <w:tab w:val="num" w:pos="360"/>
        </w:tabs>
        <w:ind w:left="360" w:hanging="260"/>
      </w:pPr>
      <w:rPr>
        <w:rFonts w:ascii="Arial" w:hAnsi="Arial"/>
      </w:rPr>
    </w:lvl>
    <w:lvl w:ilvl="1">
      <w:start w:val="1"/>
      <w:numFmt w:val="bullet"/>
      <w:lvlText w:val="•"/>
      <w:lvlJc w:val="left"/>
      <w:pPr>
        <w:tabs>
          <w:tab w:val="num" w:pos="720"/>
        </w:tabs>
        <w:ind w:left="720" w:hanging="260"/>
      </w:pPr>
      <w:rPr>
        <w:rFonts w:ascii="Arial" w:hAnsi="Arial"/>
      </w:rPr>
    </w:lvl>
    <w:lvl w:ilvl="2">
      <w:start w:val="1"/>
      <w:numFmt w:val="bullet"/>
      <w:lvlText w:val="•"/>
      <w:lvlJc w:val="left"/>
      <w:pPr>
        <w:tabs>
          <w:tab w:val="num" w:pos="1080"/>
        </w:tabs>
        <w:ind w:left="1080" w:hanging="260"/>
      </w:pPr>
      <w:rPr>
        <w:rFonts w:ascii="Arial" w:hAnsi="Arial"/>
      </w:rPr>
    </w:lvl>
    <w:lvl w:ilvl="3">
      <w:start w:val="1"/>
      <w:numFmt w:val="bullet"/>
      <w:lvlText w:val="•"/>
      <w:lvlJc w:val="left"/>
      <w:pPr>
        <w:tabs>
          <w:tab w:val="num" w:pos="1440"/>
        </w:tabs>
        <w:ind w:left="1440" w:hanging="260"/>
      </w:pPr>
      <w:rPr>
        <w:rFonts w:ascii="Arial" w:hAnsi="Arial"/>
      </w:rPr>
    </w:lvl>
  </w:abstractNum>
  <w:abstractNum w:abstractNumId="1">
    <w:multiLevelType w:val="multilevel"/>
    <w:lvl w:ilvl="0">
      <w:start w:val="1"/>
      <w:numFmt w:val="decimal"/>
      <w:lvlText w:val="%1."/>
      <w:lvlJc w:val="left"/>
      <w:pPr>
        <w:tabs>
          <w:tab w:val="num" w:pos="360"/>
        </w:tabs>
        <w:ind w:left="360" w:hanging="260"/>
      </w:pPr>
      <w:rPr>
        <w:rFonts w:ascii="Arial" w:hAnsi="Arial"/>
      </w:rPr>
    </w:lvl>
    <w:lvl w:ilvl="1">
      <w:start w:val="1"/>
      <w:numFmt w:val="decimal"/>
      <w:lvlText w:val="%2."/>
      <w:lvlJc w:val="left"/>
      <w:pPr>
        <w:tabs>
          <w:tab w:val="num" w:pos="720"/>
        </w:tabs>
        <w:ind w:left="720" w:hanging="260"/>
      </w:pPr>
      <w:rPr>
        <w:rFonts w:ascii="Arial" w:hAnsi="Arial"/>
      </w:rPr>
    </w:lvl>
    <w:lvl w:ilvl="2">
      <w:start w:val="1"/>
      <w:numFmt w:val="decimal"/>
      <w:lvlText w:val="%3."/>
      <w:lvlJc w:val="left"/>
      <w:pPr>
        <w:tabs>
          <w:tab w:val="num" w:pos="1080"/>
        </w:tabs>
        <w:ind w:left="1080" w:hanging="260"/>
      </w:pPr>
      <w:rPr>
        <w:rFonts w:ascii="Arial" w:hAnsi="Arial"/>
      </w:rPr>
    </w:lvl>
    <w:lvl w:ilvl="3">
      <w:start w:val="1"/>
      <w:numFmt w:val="decimal"/>
      <w:lvlText w:val="%4."/>
      <w:lvlJc w:val="left"/>
      <w:pPr>
        <w:tabs>
          <w:tab w:val="num" w:pos="1440"/>
        </w:tabs>
        <w:ind w:left="1440" w:hanging="260"/>
      </w:pPr>
      <w:rPr>
        <w:rFonts w:ascii="Arial" w:hAnsi="Arial"/>
      </w:rPr>
    </w:lvl>
  </w:abstractNum>
  <w:num w:numId="2">
    <w:abstractNumId w:val="0"/>
  </w:num>
</w:numbering>
</file>

<file path=word/settings.xml><?xml version="1.0" encoding="utf-8"?>
<w:settings xmlns:w="http://schemas.openxmlformats.org/wordprocessingml/2006/main">
  <w:defaultTabStop w:val="720"/>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cs="Arial"/>
        <w:color w:val="000000"/>
        <w:sz w:val="22"/>
        <w:szCs w:val="22"/>
        <w:lang w:val="en-GB"/>
      </w:rPr>
    </w:rPrDefault>
    <w:pPrDefault>
      <w:pPr>
        <w:spacing w:after="120" w:line="264" w:lineRule="auto"/>
        <w:widowControl/>
      </w:pPr>
    </w:pPrDefault>
  </w:docDefaults>
  <w:style w:type="paragraph" w:default="1" w:styleId="Normal">
    <w:name w:val="Normal"/>
    <w:qFormat/>
    <w:pPr>
      <w:widowControl/>
    </w:pPr>
  </w:style>
  <w:style w:type="paragraph" w:styleId="Title">
    <w:name w:val="Title"/>
    <w:basedOn w:val="Normal"/>
    <w:next w:val="Normal"/>
    <w:qFormat/>
    <w:pPr>
      <w:spacing w:before="0" w:after="220"/>
      <w:keepNext/>
    </w:pPr>
    <w:rPr>
      <w:rFonts w:ascii="Arial" w:hAnsi="Arial" w:cs="Arial"/>
      <w:color w:val="000000"/>
      <w:sz w:val="38"/>
    </w:rPr>
  </w:style>
  <w:style w:type="paragraph" w:styleId="Heading1">
    <w:name w:val="heading 1"/>
    <w:basedOn w:val="Normal"/>
    <w:next w:val="Normal"/>
    <w:qFormat/>
    <w:pPr>
      <w:spacing w:before="220" w:after="100"/>
      <w:keepNext/>
      <w:keepLines/>
      <w:outlineLvl w:val="0"/>
    </w:pPr>
    <w:rPr>
      <w:rFonts w:ascii="Arial" w:hAnsi="Arial" w:cs="Arial"/>
      <w:color w:val="000000"/>
      <w:sz w:val="28"/>
      <w:b/>
    </w:rPr>
  </w:style>
  <w:style w:type="paragraph" w:styleId="Heading2">
    <w:name w:val="heading 2"/>
    <w:basedOn w:val="Normal"/>
    <w:next w:val="Normal"/>
    <w:qFormat/>
    <w:pPr>
      <w:spacing w:before="180" w:after="80"/>
      <w:keepNext/>
      <w:keepLines/>
      <w:outlineLvl w:val="1"/>
    </w:pPr>
    <w:rPr>
      <w:rFonts w:ascii="Arial" w:hAnsi="Arial" w:cs="Arial"/>
      <w:color w:val="000000"/>
      <w:sz w:val="24"/>
      <w:b/>
    </w:rPr>
  </w:style>
  <w:style w:type="paragraph" w:styleId="Heading3">
    <w:name w:val="heading 3"/>
    <w:basedOn w:val="Normal"/>
    <w:next w:val="Normal"/>
    <w:qFormat/>
    <w:pPr>
      <w:spacing w:before="160" w:after="60"/>
      <w:keepNext/>
      <w:keepLines/>
      <w:outlineLvl w:val="2"/>
    </w:pPr>
    <w:rPr>
      <w:rFonts w:ascii="Arial" w:hAnsi="Arial" w:cs="Arial"/>
      <w:color w:val="000000"/>
      <w:sz w:val="22"/>
      <w:b/>
    </w:rPr>
  </w:style>
  <w:style w:type="paragraph" w:styleId="ListParagraph">
    <w:name w:val="List Paragraph"/>
    <w:basedOn w:val="Normal"/>
    <w:next w:val="Normal"/>
    <w:qFormat/>
    <w:pPr>
      <w:spacing w:before="0" w:after="65"/>
      <w:contextualSpacing/>
    </w:pPr>
    <w:rPr>
      <w:rFonts w:ascii="Arial" w:hAnsi="Arial" w:cs="Arial"/>
      <w:color w:val="000000"/>
      <w:sz w:val="22"/>
    </w:rPr>
  </w:style>
  <w:style w:type="paragraph" w:styleId="TableText">
    <w:name w:val="Table text"/>
    <w:basedOn w:val="Normal"/>
    <w:next w:val="Normal"/>
    <w:qFormat/>
    <w:pPr>
      <w:spacing w:before="0" w:after="0" w:line="250" w:lineRule="auto"/>
    </w:pPr>
    <w:rPr>
      <w:rFonts w:ascii="Arial" w:hAnsi="Arial" w:cs="Arial"/>
      <w:color w:val="000000"/>
      <w:sz w:val="21"/>
    </w:rPr>
  </w:style>
  <w:style w:type="paragraph" w:styleId="AfterTable">
    <w:name w:val="Table spacing"/>
    <w:basedOn w:val="Normal"/>
    <w:next w:val="Normal"/>
    <w:qFormat/>
    <w:pPr>
      <w:spacing w:before="0" w:after="100" w:line="20" w:lineRule="exact"/>
    </w:pPr>
    <w:rPr>
      <w:rFonts w:ascii="Arial" w:hAnsi="Arial" w:cs="Arial"/>
      <w:color w:val="000000"/>
      <w:sz w:val="2"/>
    </w:rPr>
  </w:style>
  <w:style w:type="paragraph" w:styleId="Code">
    <w:name w:val="Code"/>
    <w:basedOn w:val="Normal"/>
    <w:next w:val="Normal"/>
    <w:qFormat/>
    <w:pPr>
      <w:spacing w:before="0" w:after="20"/>
    </w:pPr>
    <w:rPr>
      <w:rFonts w:ascii="Arial" w:hAnsi="Arial" w:cs="Arial"/>
      <w:color w:val="000000"/>
      <w:sz w:val="19"/>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er" Target="footer1.xml"/><Relationship Id="rId4" Type="http://schemas.openxmlformats.org/officeDocument/2006/relationships/settings" Target="settings.xml"/></Relationships>
</file>

<file path=docProps/app.xml><?xml version="1.0" encoding="utf-8"?>
<Properties xmlns="http://schemas.openxmlformats.org/officeDocument/2006/extended-properties">
  <Application>Stratum Walkthrough</Application>
  <Company>Stratum Core Systems</Company>
</Properties>
</file>

<file path=docProps/core.xml><?xml version="1.0" encoding="utf-8"?>
<cp:coreProperties xmlns:cp="http://schemas.openxmlformats.org/package/2006/metadata/core-properties" xmlns:dc="http://purl.org/dc/elements/1.1/" xmlns:dcterms="http://purl.org/dc/terms/" xmlns:xsi="http://www.w3.org/2001/XMLSchema-instance">
  <dc:title>Stratum analytical review packet</dc:title>
  <dc:creator>Stratum Core Systems</dc:creator>
  <cp:lastModifiedBy>Stratum Core Systems</cp:lastModifiedBy>
  <dcterms:created xsi:type="dcterms:W3CDTF">2026-09-15T11:06:13.633Z</dcterms:created>
  <dcterms:modified xsi:type="dcterms:W3CDTF">2026-09-15T11:06:13.633Z</dcterms:modified>
</cp:coreProperties>
</file>